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287" w:rsidRPr="001B6287" w:rsidRDefault="001B6287" w:rsidP="001B6287">
      <w:pPr>
        <w:rPr>
          <w:rFonts w:ascii="Garamond" w:hAnsi="Garamond"/>
          <w:b/>
          <w:color w:val="auto"/>
          <w:sz w:val="32"/>
          <w:szCs w:val="32"/>
          <w:u w:val="single"/>
        </w:rPr>
      </w:pPr>
      <w:r w:rsidRPr="001B6287">
        <w:rPr>
          <w:rFonts w:ascii="Garamond" w:hAnsi="Garamond"/>
          <w:b/>
          <w:color w:val="auto"/>
          <w:sz w:val="32"/>
          <w:szCs w:val="32"/>
          <w:u w:val="single"/>
        </w:rPr>
        <w:t>от  10.02.2012</w:t>
      </w:r>
    </w:p>
    <w:p w:rsidR="001B6287" w:rsidRPr="002F4321" w:rsidRDefault="001B6287" w:rsidP="001B6287">
      <w:pPr>
        <w:jc w:val="center"/>
        <w:rPr>
          <w:rFonts w:ascii="Garamond" w:hAnsi="Garamond"/>
          <w:b/>
          <w:color w:val="auto"/>
          <w:sz w:val="28"/>
          <w:szCs w:val="28"/>
        </w:rPr>
      </w:pPr>
    </w:p>
    <w:p w:rsidR="001B6287" w:rsidRPr="002F4321" w:rsidRDefault="001B6287" w:rsidP="001B6287">
      <w:pPr>
        <w:jc w:val="center"/>
        <w:rPr>
          <w:rFonts w:ascii="Garamond" w:hAnsi="Garamond"/>
          <w:b/>
          <w:color w:val="auto"/>
          <w:sz w:val="32"/>
          <w:szCs w:val="32"/>
        </w:rPr>
      </w:pPr>
      <w:r w:rsidRPr="002F4321">
        <w:rPr>
          <w:rFonts w:ascii="Garamond" w:hAnsi="Garamond"/>
          <w:b/>
          <w:color w:val="auto"/>
          <w:sz w:val="32"/>
          <w:szCs w:val="32"/>
        </w:rPr>
        <w:t>Уважаемый  Потребитель!</w:t>
      </w:r>
    </w:p>
    <w:p w:rsidR="001B6287" w:rsidRPr="002F4321" w:rsidRDefault="001B6287" w:rsidP="001B6287">
      <w:pPr>
        <w:jc w:val="center"/>
        <w:rPr>
          <w:rFonts w:ascii="Garamond" w:hAnsi="Garamond"/>
          <w:b/>
          <w:color w:val="auto"/>
          <w:sz w:val="28"/>
          <w:szCs w:val="28"/>
        </w:rPr>
      </w:pPr>
    </w:p>
    <w:p w:rsidR="001B6287" w:rsidRPr="002F4321" w:rsidRDefault="001B6287" w:rsidP="001B6287">
      <w:pPr>
        <w:ind w:firstLine="720"/>
        <w:jc w:val="both"/>
        <w:rPr>
          <w:rFonts w:ascii="Garamond" w:hAnsi="Garamond"/>
          <w:b/>
          <w:color w:val="auto"/>
          <w:sz w:val="28"/>
          <w:szCs w:val="28"/>
        </w:rPr>
      </w:pPr>
      <w:r w:rsidRPr="002F4321">
        <w:rPr>
          <w:rFonts w:ascii="Garamond" w:hAnsi="Garamond"/>
          <w:b/>
          <w:color w:val="auto"/>
          <w:sz w:val="28"/>
          <w:szCs w:val="28"/>
        </w:rPr>
        <w:t xml:space="preserve">Уведомляем Вас о том, что средневзвешенные свободные (нерегулируемые) цены электрической энергии (мощности) на оптовом рынке за январь-февраль 2012г. будут опубликованы коммерческим оператором торговой системы оптового рынка не ранее 31 марта 2012г. На основании  данных цен, Гарантирующим Поставщиком (ОАО «Мордовская </w:t>
      </w:r>
      <w:proofErr w:type="spellStart"/>
      <w:r w:rsidRPr="002F4321">
        <w:rPr>
          <w:rFonts w:ascii="Garamond" w:hAnsi="Garamond"/>
          <w:b/>
          <w:color w:val="auto"/>
          <w:sz w:val="28"/>
          <w:szCs w:val="28"/>
        </w:rPr>
        <w:t>энергосбытовая</w:t>
      </w:r>
      <w:proofErr w:type="spellEnd"/>
      <w:r w:rsidRPr="002F4321">
        <w:rPr>
          <w:rFonts w:ascii="Garamond" w:hAnsi="Garamond"/>
          <w:b/>
          <w:color w:val="auto"/>
          <w:sz w:val="28"/>
          <w:szCs w:val="28"/>
        </w:rPr>
        <w:t xml:space="preserve"> компания») рассчитываются предельные уровни нерегулируемых (свободных) цен на розничном рынке, соответственно на основе данных Гарантирующего Поставщика (ОАО «Мордовская </w:t>
      </w:r>
      <w:proofErr w:type="spellStart"/>
      <w:r w:rsidRPr="002F4321">
        <w:rPr>
          <w:rFonts w:ascii="Garamond" w:hAnsi="Garamond"/>
          <w:b/>
          <w:color w:val="auto"/>
          <w:sz w:val="28"/>
          <w:szCs w:val="28"/>
        </w:rPr>
        <w:t>энергосбытовая</w:t>
      </w:r>
      <w:proofErr w:type="spellEnd"/>
      <w:r w:rsidRPr="002F4321">
        <w:rPr>
          <w:rFonts w:ascii="Garamond" w:hAnsi="Garamond"/>
          <w:b/>
          <w:color w:val="auto"/>
          <w:sz w:val="28"/>
          <w:szCs w:val="28"/>
        </w:rPr>
        <w:t xml:space="preserve"> компания»), ООО «Энергосбыт» рассчитывает свободные (нерегулируемые) цены для своего конечного потребителя.</w:t>
      </w:r>
    </w:p>
    <w:p w:rsidR="001B6287" w:rsidRPr="00983CDA" w:rsidRDefault="001B6287" w:rsidP="001B6287">
      <w:pPr>
        <w:ind w:firstLine="720"/>
        <w:jc w:val="both"/>
        <w:rPr>
          <w:rFonts w:ascii="Garamond" w:hAnsi="Garamond"/>
          <w:b/>
          <w:color w:val="FF0000"/>
          <w:sz w:val="28"/>
          <w:szCs w:val="28"/>
        </w:rPr>
      </w:pPr>
      <w:r w:rsidRPr="002F4321">
        <w:rPr>
          <w:rFonts w:ascii="Garamond" w:hAnsi="Garamond"/>
          <w:b/>
          <w:color w:val="auto"/>
          <w:sz w:val="28"/>
          <w:szCs w:val="28"/>
        </w:rPr>
        <w:t xml:space="preserve">Поскольку предельные уровни нерегулируемых (свободных) цен за январь-февраль 2012г. не опубликованы в срок, ООО «Энергосбыт» </w:t>
      </w:r>
      <w:r w:rsidRPr="00983CDA">
        <w:rPr>
          <w:rFonts w:ascii="Garamond" w:hAnsi="Garamond"/>
          <w:b/>
          <w:color w:val="FF0000"/>
          <w:sz w:val="28"/>
          <w:szCs w:val="28"/>
        </w:rPr>
        <w:t>будут выставлены потребителям предварительные счета-фактуры</w:t>
      </w:r>
      <w:r w:rsidRPr="002F4321">
        <w:rPr>
          <w:rFonts w:ascii="Garamond" w:hAnsi="Garamond"/>
          <w:b/>
          <w:color w:val="auto"/>
          <w:sz w:val="28"/>
          <w:szCs w:val="28"/>
        </w:rPr>
        <w:t xml:space="preserve"> </w:t>
      </w:r>
      <w:r w:rsidRPr="00983CDA">
        <w:rPr>
          <w:rFonts w:ascii="Garamond" w:hAnsi="Garamond"/>
          <w:b/>
          <w:color w:val="FF0000"/>
          <w:sz w:val="28"/>
          <w:szCs w:val="28"/>
        </w:rPr>
        <w:t xml:space="preserve">за январь-февраль 2012г. с последующим перерасчетом, после того как будут известны фактические предельные уровни нерегулируемых (свободных) цен на розничном рынке. </w:t>
      </w:r>
    </w:p>
    <w:p w:rsidR="001B6287" w:rsidRDefault="001B6287" w:rsidP="001B6287">
      <w:pPr>
        <w:jc w:val="right"/>
        <w:rPr>
          <w:rFonts w:ascii="Garamond" w:hAnsi="Garamond"/>
          <w:b/>
          <w:color w:val="auto"/>
          <w:sz w:val="28"/>
          <w:szCs w:val="28"/>
        </w:rPr>
      </w:pPr>
    </w:p>
    <w:p w:rsidR="001B6287" w:rsidRPr="002F4321" w:rsidRDefault="001B6287" w:rsidP="001B6287">
      <w:pPr>
        <w:jc w:val="right"/>
        <w:rPr>
          <w:rFonts w:ascii="Garamond" w:hAnsi="Garamond"/>
          <w:b/>
          <w:color w:val="auto"/>
          <w:sz w:val="28"/>
          <w:szCs w:val="28"/>
        </w:rPr>
      </w:pPr>
    </w:p>
    <w:p w:rsidR="001B6287" w:rsidRPr="00983CDA" w:rsidRDefault="001B6287" w:rsidP="001B6287">
      <w:pPr>
        <w:jc w:val="right"/>
        <w:rPr>
          <w:rFonts w:ascii="Garamond" w:hAnsi="Garamond"/>
          <w:b/>
          <w:color w:val="auto"/>
          <w:sz w:val="28"/>
          <w:szCs w:val="28"/>
        </w:rPr>
      </w:pPr>
      <w:r w:rsidRPr="00983CDA">
        <w:rPr>
          <w:rFonts w:ascii="Garamond" w:hAnsi="Garamond"/>
          <w:b/>
          <w:color w:val="auto"/>
          <w:sz w:val="28"/>
          <w:szCs w:val="28"/>
        </w:rPr>
        <w:t>Администрация  ООО «Энергосбыт»</w:t>
      </w:r>
    </w:p>
    <w:p w:rsidR="00B70D5B" w:rsidRDefault="00B70D5B"/>
    <w:p w:rsidR="001B14FF" w:rsidRDefault="00D8117C">
      <w:r>
        <w:t>_____________________________________________________________________________</w:t>
      </w:r>
    </w:p>
    <w:p w:rsidR="001B14FF" w:rsidRDefault="001B14FF"/>
    <w:p w:rsidR="001B14FF" w:rsidRDefault="001B14FF"/>
    <w:p w:rsidR="001B14FF" w:rsidRPr="001B14FF" w:rsidRDefault="001B14FF" w:rsidP="001B14FF">
      <w:pPr>
        <w:rPr>
          <w:rFonts w:ascii="Garamond" w:hAnsi="Garamond"/>
          <w:b/>
          <w:color w:val="000000"/>
          <w:sz w:val="32"/>
          <w:szCs w:val="32"/>
          <w:u w:val="single"/>
        </w:rPr>
      </w:pPr>
      <w:r w:rsidRPr="001B14FF">
        <w:rPr>
          <w:rFonts w:ascii="Garamond" w:hAnsi="Garamond"/>
          <w:b/>
          <w:color w:val="000000"/>
          <w:sz w:val="32"/>
          <w:szCs w:val="32"/>
          <w:u w:val="single"/>
        </w:rPr>
        <w:t>от 10.05.2012</w:t>
      </w:r>
    </w:p>
    <w:p w:rsidR="001B14FF" w:rsidRDefault="001B14FF" w:rsidP="001B14F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Информационное письмо </w:t>
      </w:r>
      <w:r w:rsidRPr="005539CB">
        <w:rPr>
          <w:color w:val="000000"/>
          <w:sz w:val="28"/>
          <w:szCs w:val="28"/>
        </w:rPr>
        <w:t>Министерство энергетики и тарифной политики Республики Мордовия</w:t>
      </w:r>
      <w:r>
        <w:rPr>
          <w:color w:val="000000"/>
          <w:sz w:val="28"/>
          <w:szCs w:val="28"/>
        </w:rPr>
        <w:t xml:space="preserve"> </w:t>
      </w:r>
    </w:p>
    <w:p w:rsidR="001B14FF" w:rsidRPr="005539CB" w:rsidRDefault="001B14FF" w:rsidP="001B14FF">
      <w:pPr>
        <w:jc w:val="center"/>
        <w:rPr>
          <w:color w:val="000000"/>
          <w:sz w:val="28"/>
          <w:szCs w:val="28"/>
        </w:rPr>
      </w:pPr>
    </w:p>
    <w:p w:rsidR="001B14FF" w:rsidRPr="005539CB" w:rsidRDefault="001B14FF" w:rsidP="001B14FF">
      <w:pPr>
        <w:jc w:val="center"/>
        <w:rPr>
          <w:b/>
          <w:sz w:val="28"/>
          <w:szCs w:val="28"/>
        </w:rPr>
      </w:pPr>
      <w:r w:rsidRPr="005539CB">
        <w:rPr>
          <w:b/>
          <w:color w:val="000000"/>
          <w:sz w:val="28"/>
          <w:szCs w:val="28"/>
        </w:rPr>
        <w:t xml:space="preserve">Уважаемые потребители  электрической энергии  </w:t>
      </w:r>
    </w:p>
    <w:p w:rsidR="001B14FF" w:rsidRPr="005539CB" w:rsidRDefault="001B14FF" w:rsidP="001B14FF">
      <w:pPr>
        <w:jc w:val="center"/>
        <w:rPr>
          <w:b/>
          <w:color w:val="000000"/>
          <w:sz w:val="28"/>
          <w:szCs w:val="28"/>
        </w:rPr>
      </w:pPr>
      <w:r w:rsidRPr="005539CB">
        <w:rPr>
          <w:b/>
          <w:color w:val="000000"/>
          <w:sz w:val="28"/>
          <w:szCs w:val="28"/>
        </w:rPr>
        <w:t>Республики Мордовия!</w:t>
      </w:r>
    </w:p>
    <w:p w:rsidR="001B14FF" w:rsidRPr="005539CB" w:rsidRDefault="001B14FF" w:rsidP="001B14FF">
      <w:pPr>
        <w:jc w:val="center"/>
        <w:rPr>
          <w:sz w:val="28"/>
          <w:szCs w:val="28"/>
        </w:rPr>
      </w:pPr>
    </w:p>
    <w:p w:rsidR="001B14FF" w:rsidRPr="005539CB" w:rsidRDefault="001B14FF" w:rsidP="001B14FF">
      <w:pPr>
        <w:ind w:firstLine="1080"/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t>Министерство энергетики и тарифной политики Республики Мордовия информирует Вас о том, что в соответствии с законодательством в сфере электроэнергетики изменяется порядок формирования цены на электрическую энергию:</w:t>
      </w:r>
    </w:p>
    <w:p w:rsidR="001B14FF" w:rsidRPr="005539CB" w:rsidRDefault="001B14FF" w:rsidP="001B14FF">
      <w:pPr>
        <w:ind w:firstLine="1080"/>
        <w:jc w:val="both"/>
        <w:rPr>
          <w:sz w:val="28"/>
          <w:szCs w:val="28"/>
        </w:rPr>
      </w:pPr>
      <w:r w:rsidRPr="005539CB">
        <w:rPr>
          <w:b/>
          <w:color w:val="000000"/>
          <w:sz w:val="28"/>
          <w:szCs w:val="28"/>
        </w:rPr>
        <w:t>1.</w:t>
      </w:r>
      <w:r w:rsidRPr="005539CB">
        <w:rPr>
          <w:color w:val="000000"/>
          <w:sz w:val="28"/>
          <w:szCs w:val="28"/>
        </w:rPr>
        <w:t xml:space="preserve"> </w:t>
      </w:r>
      <w:r w:rsidRPr="005539CB">
        <w:rPr>
          <w:rStyle w:val="a4"/>
          <w:color w:val="000000"/>
          <w:sz w:val="28"/>
          <w:szCs w:val="28"/>
        </w:rPr>
        <w:t>с 1 апреля 2012 года</w:t>
      </w:r>
      <w:r w:rsidRPr="005539CB">
        <w:rPr>
          <w:color w:val="000000"/>
          <w:sz w:val="28"/>
          <w:szCs w:val="28"/>
        </w:rPr>
        <w:t xml:space="preserve"> отменена дифференциация предельных уровней нерегулируемых цен по числу часов использования мощности</w:t>
      </w:r>
      <w:r w:rsidRPr="005539CB">
        <w:rPr>
          <w:rStyle w:val="a4"/>
          <w:color w:val="000000"/>
          <w:sz w:val="28"/>
          <w:szCs w:val="28"/>
        </w:rPr>
        <w:t>;</w:t>
      </w:r>
    </w:p>
    <w:p w:rsidR="001B14FF" w:rsidRPr="005539CB" w:rsidRDefault="001B14FF" w:rsidP="001B14FF">
      <w:pPr>
        <w:ind w:firstLine="1080"/>
        <w:jc w:val="both"/>
        <w:rPr>
          <w:sz w:val="28"/>
          <w:szCs w:val="28"/>
        </w:rPr>
      </w:pPr>
      <w:r w:rsidRPr="005539CB">
        <w:rPr>
          <w:b/>
          <w:color w:val="000000"/>
          <w:sz w:val="28"/>
          <w:szCs w:val="28"/>
        </w:rPr>
        <w:t>2.</w:t>
      </w:r>
      <w:r w:rsidRPr="005539CB">
        <w:rPr>
          <w:color w:val="000000"/>
          <w:sz w:val="28"/>
          <w:szCs w:val="28"/>
        </w:rPr>
        <w:t xml:space="preserve"> Пунктом 108.1 Основных положений функционирования розничных рынков электрической энергии, утвержденных постановлением Правительства Российской Федерации от 31.08.2006 г. №530, предусмотрено что,  </w:t>
      </w:r>
      <w:r w:rsidRPr="005539CB">
        <w:rPr>
          <w:rStyle w:val="a4"/>
          <w:color w:val="000000"/>
          <w:sz w:val="28"/>
          <w:szCs w:val="28"/>
        </w:rPr>
        <w:t>с 1 января 2012 года</w:t>
      </w:r>
      <w:r w:rsidRPr="005539CB">
        <w:rPr>
          <w:color w:val="000000"/>
          <w:sz w:val="28"/>
          <w:szCs w:val="28"/>
        </w:rPr>
        <w:t xml:space="preserve"> предельные уровни нерегулируемых цен на розничных рынках рассчитываются гарантирующим поставщиком по </w:t>
      </w:r>
      <w:r w:rsidRPr="005539CB">
        <w:rPr>
          <w:rStyle w:val="a4"/>
          <w:color w:val="000000"/>
          <w:sz w:val="28"/>
          <w:szCs w:val="28"/>
        </w:rPr>
        <w:t>шести  ценовым   категориям</w:t>
      </w:r>
      <w:r w:rsidRPr="005539CB">
        <w:rPr>
          <w:color w:val="000000"/>
          <w:sz w:val="28"/>
          <w:szCs w:val="28"/>
        </w:rPr>
        <w:t>:</w:t>
      </w:r>
    </w:p>
    <w:p w:rsidR="001B14FF" w:rsidRPr="005539CB" w:rsidRDefault="001B14FF" w:rsidP="001B14FF">
      <w:pPr>
        <w:ind w:firstLine="1080"/>
        <w:jc w:val="both"/>
        <w:rPr>
          <w:sz w:val="28"/>
          <w:szCs w:val="28"/>
        </w:rPr>
      </w:pPr>
      <w:r w:rsidRPr="005539CB">
        <w:rPr>
          <w:color w:val="FF0000"/>
          <w:sz w:val="28"/>
          <w:szCs w:val="28"/>
        </w:rPr>
        <w:lastRenderedPageBreak/>
        <w:t>первая ценовая категория</w:t>
      </w:r>
      <w:r w:rsidRPr="005539CB">
        <w:rPr>
          <w:color w:val="000000"/>
          <w:sz w:val="28"/>
          <w:szCs w:val="28"/>
        </w:rPr>
        <w:t xml:space="preserve"> - для объемов покупки электрической энергии (мощности), учет которых осуществляется в целом за расчетный период;</w:t>
      </w:r>
    </w:p>
    <w:p w:rsidR="001B14FF" w:rsidRPr="005539CB" w:rsidRDefault="001B14FF" w:rsidP="001B14FF">
      <w:pPr>
        <w:ind w:firstLine="1080"/>
        <w:jc w:val="both"/>
        <w:rPr>
          <w:sz w:val="28"/>
          <w:szCs w:val="28"/>
        </w:rPr>
      </w:pPr>
      <w:r w:rsidRPr="005539CB">
        <w:rPr>
          <w:color w:val="FF0000"/>
          <w:sz w:val="28"/>
          <w:szCs w:val="28"/>
        </w:rPr>
        <w:t>вторая ценовая категория</w:t>
      </w:r>
      <w:r w:rsidRPr="005539CB">
        <w:rPr>
          <w:color w:val="000000"/>
          <w:sz w:val="28"/>
          <w:szCs w:val="28"/>
        </w:rPr>
        <w:t xml:space="preserve"> - для объемов покупки электрической энергии (мощности), учет которых осуществляется по зонам суток расчетного периода;</w:t>
      </w:r>
    </w:p>
    <w:p w:rsidR="001B14FF" w:rsidRPr="005539CB" w:rsidRDefault="001B14FF" w:rsidP="001B14FF">
      <w:pPr>
        <w:ind w:firstLine="1080"/>
        <w:jc w:val="both"/>
        <w:rPr>
          <w:sz w:val="28"/>
          <w:szCs w:val="28"/>
        </w:rPr>
      </w:pPr>
      <w:r w:rsidRPr="005539CB">
        <w:rPr>
          <w:color w:val="FF0000"/>
          <w:sz w:val="28"/>
          <w:szCs w:val="28"/>
        </w:rPr>
        <w:t>третья ценовая категория</w:t>
      </w:r>
      <w:r w:rsidRPr="005539CB">
        <w:rPr>
          <w:color w:val="000000"/>
          <w:sz w:val="28"/>
          <w:szCs w:val="28"/>
        </w:rPr>
        <w:t xml:space="preserve"> - для объемов покупки электрической энергии (мощности), в отношении которых в расчетном периоде осуществляется почасовой </w:t>
      </w:r>
      <w:proofErr w:type="gramStart"/>
      <w:r w:rsidRPr="005539CB">
        <w:rPr>
          <w:color w:val="000000"/>
          <w:sz w:val="28"/>
          <w:szCs w:val="28"/>
        </w:rPr>
        <w:t>учет</w:t>
      </w:r>
      <w:proofErr w:type="gramEnd"/>
      <w:r w:rsidRPr="005539CB">
        <w:rPr>
          <w:color w:val="000000"/>
          <w:sz w:val="28"/>
          <w:szCs w:val="28"/>
        </w:rPr>
        <w:t xml:space="preserve"> и стоимость услуг по передаче электрической энергии определяется по тарифу в </w:t>
      </w:r>
      <w:proofErr w:type="spellStart"/>
      <w:r w:rsidRPr="005539CB">
        <w:rPr>
          <w:color w:val="000000"/>
          <w:sz w:val="28"/>
          <w:szCs w:val="28"/>
        </w:rPr>
        <w:t>одноставочном</w:t>
      </w:r>
      <w:proofErr w:type="spellEnd"/>
      <w:r w:rsidRPr="005539CB">
        <w:rPr>
          <w:color w:val="000000"/>
          <w:sz w:val="28"/>
          <w:szCs w:val="28"/>
        </w:rPr>
        <w:t xml:space="preserve"> выражении;</w:t>
      </w:r>
    </w:p>
    <w:p w:rsidR="001B14FF" w:rsidRPr="005539CB" w:rsidRDefault="001B14FF" w:rsidP="001B14FF">
      <w:pPr>
        <w:ind w:firstLine="1080"/>
        <w:jc w:val="both"/>
        <w:rPr>
          <w:sz w:val="28"/>
          <w:szCs w:val="28"/>
        </w:rPr>
      </w:pPr>
      <w:r w:rsidRPr="005539CB">
        <w:rPr>
          <w:color w:val="FF0000"/>
          <w:sz w:val="28"/>
          <w:szCs w:val="28"/>
        </w:rPr>
        <w:t>четвертая ценовая категория</w:t>
      </w:r>
      <w:r w:rsidRPr="005539CB">
        <w:rPr>
          <w:color w:val="000000"/>
          <w:sz w:val="28"/>
          <w:szCs w:val="28"/>
        </w:rPr>
        <w:t xml:space="preserve"> - для объемов покупки электрической энергии (мощности), в отношении которых в расчетном периоде осуществляется почасовой </w:t>
      </w:r>
      <w:proofErr w:type="gramStart"/>
      <w:r w:rsidRPr="005539CB">
        <w:rPr>
          <w:color w:val="000000"/>
          <w:sz w:val="28"/>
          <w:szCs w:val="28"/>
        </w:rPr>
        <w:t>учет</w:t>
      </w:r>
      <w:proofErr w:type="gramEnd"/>
      <w:r w:rsidRPr="005539CB">
        <w:rPr>
          <w:color w:val="000000"/>
          <w:sz w:val="28"/>
          <w:szCs w:val="28"/>
        </w:rPr>
        <w:t xml:space="preserve"> и стоимость услуг по передаче электрической энергии определяется по тарифу в </w:t>
      </w:r>
      <w:proofErr w:type="spellStart"/>
      <w:r w:rsidRPr="005539CB">
        <w:rPr>
          <w:color w:val="000000"/>
          <w:sz w:val="28"/>
          <w:szCs w:val="28"/>
        </w:rPr>
        <w:t>двухставочном</w:t>
      </w:r>
      <w:proofErr w:type="spellEnd"/>
      <w:r w:rsidRPr="005539CB">
        <w:rPr>
          <w:color w:val="000000"/>
          <w:sz w:val="28"/>
          <w:szCs w:val="28"/>
        </w:rPr>
        <w:t xml:space="preserve"> выражении;</w:t>
      </w:r>
    </w:p>
    <w:p w:rsidR="001B14FF" w:rsidRPr="005539CB" w:rsidRDefault="001B14FF" w:rsidP="001B14FF">
      <w:pPr>
        <w:ind w:firstLine="1080"/>
        <w:jc w:val="both"/>
        <w:rPr>
          <w:sz w:val="28"/>
          <w:szCs w:val="28"/>
        </w:rPr>
      </w:pPr>
      <w:r w:rsidRPr="005539CB">
        <w:rPr>
          <w:color w:val="FF0000"/>
          <w:sz w:val="28"/>
          <w:szCs w:val="28"/>
        </w:rPr>
        <w:t>пятая ценовая категория</w:t>
      </w:r>
      <w:r w:rsidRPr="005539CB">
        <w:rPr>
          <w:color w:val="000000"/>
          <w:sz w:val="28"/>
          <w:szCs w:val="28"/>
        </w:rPr>
        <w:t xml:space="preserve"> - для объемов покупки электрической энергии (мощности), в отношении которых в расчетном периоде осуществляются почасовое планирование и учет и стоимость услуг по передаче электрической энергии определяется по тарифу в </w:t>
      </w:r>
      <w:proofErr w:type="spellStart"/>
      <w:r w:rsidRPr="005539CB">
        <w:rPr>
          <w:color w:val="000000"/>
          <w:sz w:val="28"/>
          <w:szCs w:val="28"/>
        </w:rPr>
        <w:t>одноставочном</w:t>
      </w:r>
      <w:proofErr w:type="spellEnd"/>
      <w:r w:rsidRPr="005539CB">
        <w:rPr>
          <w:color w:val="000000"/>
          <w:sz w:val="28"/>
          <w:szCs w:val="28"/>
        </w:rPr>
        <w:t xml:space="preserve"> выражении;</w:t>
      </w:r>
    </w:p>
    <w:p w:rsidR="001B14FF" w:rsidRPr="005539CB" w:rsidRDefault="001B14FF" w:rsidP="001B14FF">
      <w:pPr>
        <w:ind w:firstLine="1080"/>
        <w:jc w:val="both"/>
        <w:rPr>
          <w:sz w:val="28"/>
          <w:szCs w:val="28"/>
        </w:rPr>
      </w:pPr>
      <w:r w:rsidRPr="005539CB">
        <w:rPr>
          <w:color w:val="FF0000"/>
          <w:sz w:val="28"/>
          <w:szCs w:val="28"/>
        </w:rPr>
        <w:t>шестая ценовая категория</w:t>
      </w:r>
      <w:r w:rsidRPr="005539CB">
        <w:rPr>
          <w:color w:val="000000"/>
          <w:sz w:val="28"/>
          <w:szCs w:val="28"/>
        </w:rPr>
        <w:t xml:space="preserve"> - для объемов покупки электрической энергии (мощности), в отношении которых в расчетном периоде осуществляются почасовое планирование и учет и стоимость услуг по передаче электрической энергии определяется по тарифу в </w:t>
      </w:r>
      <w:proofErr w:type="spellStart"/>
      <w:r w:rsidRPr="005539CB">
        <w:rPr>
          <w:color w:val="000000"/>
          <w:sz w:val="28"/>
          <w:szCs w:val="28"/>
        </w:rPr>
        <w:t>двухставочном</w:t>
      </w:r>
      <w:proofErr w:type="spellEnd"/>
      <w:r w:rsidRPr="005539CB">
        <w:rPr>
          <w:color w:val="000000"/>
          <w:sz w:val="28"/>
          <w:szCs w:val="28"/>
        </w:rPr>
        <w:t xml:space="preserve"> выражении.</w:t>
      </w:r>
    </w:p>
    <w:p w:rsidR="001B14FF" w:rsidRPr="005539CB" w:rsidRDefault="001B14FF" w:rsidP="001B14FF">
      <w:pPr>
        <w:ind w:firstLine="1080"/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t> </w:t>
      </w:r>
    </w:p>
    <w:p w:rsidR="001B14FF" w:rsidRPr="005539CB" w:rsidRDefault="001B14FF" w:rsidP="001B14FF">
      <w:pPr>
        <w:ind w:firstLine="1080"/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t xml:space="preserve">Выбор ценовой категории осуществляется потребителем самостоятельно посредством уведомления гарантирующего поставщика в течение 1 месяца </w:t>
      </w:r>
      <w:proofErr w:type="gramStart"/>
      <w:r w:rsidRPr="005539CB">
        <w:rPr>
          <w:color w:val="000000"/>
          <w:sz w:val="28"/>
          <w:szCs w:val="28"/>
        </w:rPr>
        <w:t>с даты принятия решения об установлении тарифов на услуги по передаче электрической энергии в соответствующем субъекте</w:t>
      </w:r>
      <w:proofErr w:type="gramEnd"/>
      <w:r w:rsidRPr="005539CB">
        <w:rPr>
          <w:color w:val="000000"/>
          <w:sz w:val="28"/>
          <w:szCs w:val="28"/>
        </w:rPr>
        <w:t xml:space="preserve"> Российской Федерации. При этом выбранная ценовая категория применяется для целей расчетов за электрическую энергию (мощность) </w:t>
      </w:r>
      <w:proofErr w:type="gramStart"/>
      <w:r w:rsidRPr="005539CB">
        <w:rPr>
          <w:color w:val="000000"/>
          <w:sz w:val="28"/>
          <w:szCs w:val="28"/>
        </w:rPr>
        <w:t>с даты введения</w:t>
      </w:r>
      <w:proofErr w:type="gramEnd"/>
      <w:r w:rsidRPr="005539CB">
        <w:rPr>
          <w:color w:val="000000"/>
          <w:sz w:val="28"/>
          <w:szCs w:val="28"/>
        </w:rPr>
        <w:t xml:space="preserve"> в действие указанных тарифов на услуги по передаче электрической энергии.</w:t>
      </w:r>
    </w:p>
    <w:p w:rsidR="001B14FF" w:rsidRPr="005539CB" w:rsidRDefault="001B14FF" w:rsidP="001B14FF">
      <w:pPr>
        <w:ind w:firstLine="1080"/>
        <w:jc w:val="both"/>
        <w:rPr>
          <w:sz w:val="28"/>
          <w:szCs w:val="28"/>
        </w:rPr>
      </w:pPr>
      <w:r w:rsidRPr="005539CB">
        <w:rPr>
          <w:b/>
          <w:color w:val="000000"/>
          <w:sz w:val="28"/>
          <w:szCs w:val="28"/>
        </w:rPr>
        <w:t>3.</w:t>
      </w:r>
      <w:r w:rsidRPr="005539CB">
        <w:rPr>
          <w:color w:val="000000"/>
          <w:sz w:val="28"/>
          <w:szCs w:val="28"/>
        </w:rPr>
        <w:t xml:space="preserve"> </w:t>
      </w:r>
      <w:r w:rsidRPr="005539CB">
        <w:rPr>
          <w:rStyle w:val="a4"/>
          <w:color w:val="000000"/>
          <w:sz w:val="28"/>
          <w:szCs w:val="28"/>
        </w:rPr>
        <w:t>с 1 февраля  2012 года</w:t>
      </w:r>
      <w:r w:rsidRPr="005539CB">
        <w:rPr>
          <w:color w:val="000000"/>
          <w:sz w:val="28"/>
          <w:szCs w:val="28"/>
        </w:rPr>
        <w:t xml:space="preserve"> принят Порядок определения и применения гарантирующими поставщиками нерегулируемых цен на электрическую энергию (мощность), утвержденный  постановлением Правительства Российской Федерации от 29 декабря 2011 года №1179 «Об определении и применении гарантирующими поставщиками нерегулируемых цен на электрическую энергию (мощность)».</w:t>
      </w:r>
    </w:p>
    <w:p w:rsidR="001B14FF" w:rsidRPr="005539CB" w:rsidRDefault="001B14FF" w:rsidP="001B14FF">
      <w:pPr>
        <w:ind w:firstLine="1080"/>
        <w:jc w:val="both"/>
        <w:rPr>
          <w:sz w:val="28"/>
          <w:szCs w:val="28"/>
        </w:rPr>
      </w:pPr>
      <w:r w:rsidRPr="005539CB">
        <w:rPr>
          <w:b/>
          <w:color w:val="000000"/>
          <w:sz w:val="28"/>
          <w:szCs w:val="28"/>
        </w:rPr>
        <w:t>4.</w:t>
      </w:r>
      <w:r w:rsidRPr="005539CB">
        <w:rPr>
          <w:color w:val="000000"/>
          <w:sz w:val="28"/>
          <w:szCs w:val="28"/>
        </w:rPr>
        <w:t xml:space="preserve">  </w:t>
      </w:r>
      <w:proofErr w:type="gramStart"/>
      <w:r w:rsidRPr="005539CB">
        <w:rPr>
          <w:color w:val="000000"/>
          <w:sz w:val="28"/>
          <w:szCs w:val="28"/>
        </w:rPr>
        <w:t xml:space="preserve">На официальном сайте Министерства энергетики и тарифной политики Республики Мордовия – </w:t>
      </w:r>
      <w:r w:rsidRPr="001754E4">
        <w:rPr>
          <w:sz w:val="28"/>
          <w:szCs w:val="28"/>
          <w:u w:val="single"/>
        </w:rPr>
        <w:t>http://rek.e-mordovia.ru</w:t>
      </w:r>
      <w:r w:rsidRPr="001754E4">
        <w:rPr>
          <w:sz w:val="28"/>
          <w:szCs w:val="28"/>
        </w:rPr>
        <w:t>,</w:t>
      </w:r>
      <w:r w:rsidRPr="005539CB">
        <w:rPr>
          <w:color w:val="000000"/>
          <w:sz w:val="28"/>
          <w:szCs w:val="28"/>
        </w:rPr>
        <w:t xml:space="preserve"> размещена ссылка на  ценовой калькулятор электрической энергии и мощности, разработанный ФСТ России в целях обеспечения возможности самостоятельного расчёта цены (тарифа) за приобретаемую электрическую энергию (мощность) для конечных потребителей по договорам энергоснабжения (купли-продажи) и контроля за правильностью формирования цен энергосбытовыми компаниями.</w:t>
      </w:r>
      <w:proofErr w:type="gramEnd"/>
    </w:p>
    <w:p w:rsidR="001B14FF" w:rsidRPr="005539CB" w:rsidRDefault="001B14FF" w:rsidP="001B14FF">
      <w:pPr>
        <w:ind w:firstLine="1080"/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lastRenderedPageBreak/>
        <w:t xml:space="preserve">Необходимую информацию, связанную с функционированием рынков электрической энергии, потребители  могут получить на сайте </w:t>
      </w:r>
      <w:proofErr w:type="spellStart"/>
      <w:r w:rsidRPr="005539CB">
        <w:rPr>
          <w:color w:val="000000"/>
          <w:sz w:val="28"/>
          <w:szCs w:val="28"/>
        </w:rPr>
        <w:t>энергосбытовых</w:t>
      </w:r>
      <w:proofErr w:type="spellEnd"/>
      <w:r w:rsidRPr="005539CB">
        <w:rPr>
          <w:color w:val="000000"/>
          <w:sz w:val="28"/>
          <w:szCs w:val="28"/>
        </w:rPr>
        <w:t xml:space="preserve"> организаций:</w:t>
      </w:r>
    </w:p>
    <w:p w:rsidR="001B14FF" w:rsidRPr="005539CB" w:rsidRDefault="001B14FF" w:rsidP="001B14F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Pr="005539CB">
        <w:rPr>
          <w:color w:val="000000"/>
          <w:sz w:val="28"/>
          <w:szCs w:val="28"/>
        </w:rPr>
        <w:t xml:space="preserve">1. ОАО Мордовская </w:t>
      </w:r>
      <w:proofErr w:type="spellStart"/>
      <w:r w:rsidRPr="005539CB">
        <w:rPr>
          <w:color w:val="000000"/>
          <w:sz w:val="28"/>
          <w:szCs w:val="28"/>
        </w:rPr>
        <w:t>энергосбытовая</w:t>
      </w:r>
      <w:proofErr w:type="spellEnd"/>
      <w:r w:rsidRPr="005539CB">
        <w:rPr>
          <w:color w:val="000000"/>
          <w:sz w:val="28"/>
          <w:szCs w:val="28"/>
        </w:rPr>
        <w:t xml:space="preserve"> компания – </w:t>
      </w:r>
      <w:hyperlink r:id="rId6" w:history="1">
        <w:r w:rsidRPr="005539CB">
          <w:rPr>
            <w:rStyle w:val="a3"/>
            <w:sz w:val="28"/>
            <w:szCs w:val="28"/>
          </w:rPr>
          <w:t>http://mesk.ru</w:t>
        </w:r>
      </w:hyperlink>
      <w:r w:rsidRPr="005539CB">
        <w:rPr>
          <w:color w:val="000000"/>
          <w:sz w:val="28"/>
          <w:szCs w:val="28"/>
        </w:rPr>
        <w:t>.</w:t>
      </w:r>
    </w:p>
    <w:p w:rsidR="001B14FF" w:rsidRPr="005539CB" w:rsidRDefault="001B14FF" w:rsidP="001B14FF">
      <w:pPr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t>Телефон "горячей линии":  8(8342)24-00-92.</w:t>
      </w:r>
    </w:p>
    <w:p w:rsidR="001B14FF" w:rsidRPr="005539CB" w:rsidRDefault="001B14FF" w:rsidP="001B14FF">
      <w:pPr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t>         2. ООО "</w:t>
      </w:r>
      <w:proofErr w:type="spellStart"/>
      <w:r w:rsidRPr="005539CB">
        <w:rPr>
          <w:color w:val="000000"/>
          <w:sz w:val="28"/>
          <w:szCs w:val="28"/>
        </w:rPr>
        <w:t>Электросбытовая</w:t>
      </w:r>
      <w:proofErr w:type="spellEnd"/>
      <w:r w:rsidRPr="005539CB">
        <w:rPr>
          <w:color w:val="000000"/>
          <w:sz w:val="28"/>
          <w:szCs w:val="28"/>
        </w:rPr>
        <w:t xml:space="preserve"> компания "Ватт - </w:t>
      </w:r>
      <w:proofErr w:type="spellStart"/>
      <w:r w:rsidRPr="005539CB">
        <w:rPr>
          <w:color w:val="000000"/>
          <w:sz w:val="28"/>
          <w:szCs w:val="28"/>
        </w:rPr>
        <w:t>Электросбыт</w:t>
      </w:r>
      <w:proofErr w:type="spellEnd"/>
      <w:r w:rsidRPr="005539CB">
        <w:rPr>
          <w:color w:val="000000"/>
          <w:sz w:val="28"/>
          <w:szCs w:val="28"/>
        </w:rPr>
        <w:t>" –  </w:t>
      </w:r>
      <w:hyperlink r:id="rId7" w:history="1">
        <w:r w:rsidRPr="005539CB">
          <w:rPr>
            <w:rStyle w:val="a3"/>
            <w:sz w:val="28"/>
            <w:szCs w:val="28"/>
          </w:rPr>
          <w:t>http://skwes.com</w:t>
        </w:r>
      </w:hyperlink>
      <w:r w:rsidRPr="005539CB">
        <w:rPr>
          <w:color w:val="000000"/>
          <w:sz w:val="28"/>
          <w:szCs w:val="28"/>
        </w:rPr>
        <w:t>.</w:t>
      </w:r>
    </w:p>
    <w:p w:rsidR="001B14FF" w:rsidRPr="005539CB" w:rsidRDefault="001B14FF" w:rsidP="001B14FF">
      <w:pPr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t>Телефон "горячей линии":  8(8342)27-00-90.</w:t>
      </w:r>
    </w:p>
    <w:p w:rsidR="001B14FF" w:rsidRPr="005539CB" w:rsidRDefault="001B14FF" w:rsidP="001B14FF">
      <w:pPr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t>        </w:t>
      </w:r>
      <w:r>
        <w:rPr>
          <w:color w:val="000000"/>
          <w:sz w:val="28"/>
          <w:szCs w:val="28"/>
        </w:rPr>
        <w:t xml:space="preserve">   </w:t>
      </w:r>
      <w:r w:rsidRPr="005539CB">
        <w:rPr>
          <w:color w:val="000000"/>
          <w:sz w:val="28"/>
          <w:szCs w:val="28"/>
        </w:rPr>
        <w:t xml:space="preserve"> 3. ООО "Энергосбыт РМ – </w:t>
      </w:r>
      <w:hyperlink r:id="rId8" w:history="1">
        <w:r w:rsidRPr="005539CB">
          <w:rPr>
            <w:rStyle w:val="a3"/>
            <w:sz w:val="28"/>
            <w:szCs w:val="28"/>
          </w:rPr>
          <w:t>http://systems-rm.ru</w:t>
        </w:r>
      </w:hyperlink>
      <w:r w:rsidRPr="005539CB">
        <w:rPr>
          <w:color w:val="000000"/>
          <w:sz w:val="28"/>
          <w:szCs w:val="28"/>
        </w:rPr>
        <w:t>.</w:t>
      </w:r>
    </w:p>
    <w:p w:rsidR="001B14FF" w:rsidRPr="005539CB" w:rsidRDefault="001B14FF" w:rsidP="001B14FF">
      <w:pPr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t>Телефон "горячей линии":  8(8342) 47-36-51.</w:t>
      </w:r>
    </w:p>
    <w:p w:rsidR="001B14FF" w:rsidRPr="005539CB" w:rsidRDefault="001B14FF" w:rsidP="001B14FF">
      <w:pPr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t xml:space="preserve">         </w:t>
      </w:r>
      <w:r>
        <w:rPr>
          <w:color w:val="000000"/>
          <w:sz w:val="28"/>
          <w:szCs w:val="28"/>
        </w:rPr>
        <w:t xml:space="preserve">   </w:t>
      </w:r>
      <w:r w:rsidRPr="005539CB">
        <w:rPr>
          <w:color w:val="000000"/>
          <w:sz w:val="28"/>
          <w:szCs w:val="28"/>
        </w:rPr>
        <w:t>4. ООО «</w:t>
      </w:r>
      <w:proofErr w:type="spellStart"/>
      <w:r w:rsidRPr="005539CB">
        <w:rPr>
          <w:color w:val="000000"/>
          <w:sz w:val="28"/>
          <w:szCs w:val="28"/>
        </w:rPr>
        <w:t>Горсветэлектросбыт</w:t>
      </w:r>
      <w:proofErr w:type="spellEnd"/>
      <w:r w:rsidRPr="005539CB">
        <w:rPr>
          <w:color w:val="000000"/>
          <w:sz w:val="28"/>
          <w:szCs w:val="28"/>
        </w:rPr>
        <w:t xml:space="preserve">» – </w:t>
      </w:r>
      <w:hyperlink r:id="rId9" w:history="1">
        <w:r w:rsidRPr="005539CB">
          <w:rPr>
            <w:rStyle w:val="a3"/>
            <w:sz w:val="28"/>
            <w:szCs w:val="28"/>
          </w:rPr>
          <w:t>http://gorsvetes.narod2.ru</w:t>
        </w:r>
      </w:hyperlink>
      <w:r w:rsidRPr="005539CB">
        <w:rPr>
          <w:color w:val="000000"/>
          <w:sz w:val="28"/>
          <w:szCs w:val="28"/>
        </w:rPr>
        <w:t>.</w:t>
      </w:r>
    </w:p>
    <w:p w:rsidR="001B14FF" w:rsidRPr="005539CB" w:rsidRDefault="001B14FF" w:rsidP="001B14FF">
      <w:pPr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t>Телефон "горячей линии":  8(8342)29-31-89.</w:t>
      </w:r>
    </w:p>
    <w:p w:rsidR="001B14FF" w:rsidRPr="005539CB" w:rsidRDefault="001B14FF" w:rsidP="001B14FF">
      <w:pPr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t xml:space="preserve">         </w:t>
      </w:r>
      <w:r>
        <w:rPr>
          <w:color w:val="000000"/>
          <w:sz w:val="28"/>
          <w:szCs w:val="28"/>
        </w:rPr>
        <w:t xml:space="preserve">   </w:t>
      </w:r>
      <w:r w:rsidRPr="005539CB">
        <w:rPr>
          <w:color w:val="000000"/>
          <w:sz w:val="28"/>
          <w:szCs w:val="28"/>
        </w:rPr>
        <w:t xml:space="preserve">5. ООО «Энергосбыт» – </w:t>
      </w:r>
      <w:hyperlink r:id="rId10" w:history="1">
        <w:r w:rsidRPr="005539CB">
          <w:rPr>
            <w:rStyle w:val="a3"/>
            <w:sz w:val="28"/>
            <w:szCs w:val="28"/>
          </w:rPr>
          <w:t>http://sszhol.ru</w:t>
        </w:r>
      </w:hyperlink>
      <w:r w:rsidRPr="005539CB">
        <w:rPr>
          <w:color w:val="000000"/>
          <w:sz w:val="28"/>
          <w:szCs w:val="28"/>
        </w:rPr>
        <w:t>.</w:t>
      </w:r>
    </w:p>
    <w:p w:rsidR="001B14FF" w:rsidRPr="005539CB" w:rsidRDefault="001B14FF" w:rsidP="001B14FF">
      <w:pPr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t>Телефон «горячей линии»: 8(8342) 23-27-65.</w:t>
      </w:r>
    </w:p>
    <w:p w:rsidR="001B14FF" w:rsidRPr="005539CB" w:rsidRDefault="001B14FF" w:rsidP="001B14F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5539CB">
        <w:rPr>
          <w:color w:val="000000"/>
          <w:sz w:val="28"/>
          <w:szCs w:val="28"/>
        </w:rPr>
        <w:t xml:space="preserve">6. ООО "РУСЭНЕРГОСБЫТ – </w:t>
      </w:r>
      <w:hyperlink r:id="rId11" w:history="1">
        <w:r w:rsidRPr="005539CB">
          <w:rPr>
            <w:rStyle w:val="a3"/>
            <w:sz w:val="28"/>
            <w:szCs w:val="28"/>
          </w:rPr>
          <w:t>http://ruses.ru</w:t>
        </w:r>
      </w:hyperlink>
      <w:r w:rsidRPr="005539CB">
        <w:rPr>
          <w:color w:val="000000"/>
          <w:sz w:val="28"/>
          <w:szCs w:val="28"/>
        </w:rPr>
        <w:t>.</w:t>
      </w:r>
    </w:p>
    <w:p w:rsidR="001B14FF" w:rsidRPr="005539CB" w:rsidRDefault="001B14FF" w:rsidP="001B14FF">
      <w:pPr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t>Телефон: 8 (495) 926-99-00, 8 (495) 280-04-40.</w:t>
      </w:r>
    </w:p>
    <w:p w:rsidR="001B14FF" w:rsidRPr="005539CB" w:rsidRDefault="001B14FF" w:rsidP="001B14FF">
      <w:pPr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t>         7. ОАО "</w:t>
      </w:r>
      <w:proofErr w:type="spellStart"/>
      <w:r w:rsidRPr="005539CB">
        <w:rPr>
          <w:color w:val="000000"/>
          <w:sz w:val="28"/>
          <w:szCs w:val="28"/>
        </w:rPr>
        <w:t>Оборонэнергосбыт</w:t>
      </w:r>
      <w:proofErr w:type="spellEnd"/>
      <w:r w:rsidRPr="005539CB">
        <w:rPr>
          <w:color w:val="000000"/>
          <w:sz w:val="28"/>
          <w:szCs w:val="28"/>
        </w:rPr>
        <w:t xml:space="preserve">" филиал "Приволжский" </w:t>
      </w:r>
      <w:proofErr w:type="spellStart"/>
      <w:r w:rsidRPr="005539CB">
        <w:rPr>
          <w:color w:val="000000"/>
          <w:sz w:val="28"/>
          <w:szCs w:val="28"/>
        </w:rPr>
        <w:t>Пензенско</w:t>
      </w:r>
      <w:proofErr w:type="spellEnd"/>
      <w:r w:rsidRPr="005539CB">
        <w:rPr>
          <w:color w:val="000000"/>
          <w:sz w:val="28"/>
          <w:szCs w:val="28"/>
        </w:rPr>
        <w:t xml:space="preserve"> - Мордовское отделение – </w:t>
      </w:r>
      <w:hyperlink r:id="rId12" w:history="1">
        <w:r w:rsidRPr="005539CB">
          <w:rPr>
            <w:rStyle w:val="a3"/>
            <w:sz w:val="28"/>
            <w:szCs w:val="28"/>
          </w:rPr>
          <w:t>http://oes.su</w:t>
        </w:r>
      </w:hyperlink>
      <w:r w:rsidRPr="005539CB">
        <w:rPr>
          <w:color w:val="000000"/>
          <w:sz w:val="28"/>
          <w:szCs w:val="28"/>
        </w:rPr>
        <w:t>.</w:t>
      </w:r>
    </w:p>
    <w:p w:rsidR="001B14FF" w:rsidRPr="005539CB" w:rsidRDefault="001B14FF" w:rsidP="001B14FF">
      <w:pPr>
        <w:jc w:val="both"/>
        <w:rPr>
          <w:sz w:val="28"/>
          <w:szCs w:val="28"/>
        </w:rPr>
      </w:pPr>
      <w:r w:rsidRPr="005539CB">
        <w:rPr>
          <w:color w:val="000000"/>
          <w:sz w:val="28"/>
          <w:szCs w:val="28"/>
        </w:rPr>
        <w:t>Телефон "горячей линии":  8 (846) 378-01-10,  8(412) 34-83-64.</w:t>
      </w:r>
    </w:p>
    <w:p w:rsidR="001B14FF" w:rsidRDefault="001B14FF" w:rsidP="001B14FF">
      <w:pPr>
        <w:rPr>
          <w:sz w:val="28"/>
          <w:szCs w:val="28"/>
        </w:rPr>
      </w:pPr>
    </w:p>
    <w:p w:rsidR="00D8117C" w:rsidRDefault="00D8117C" w:rsidP="001B14F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B14FF" w:rsidRDefault="001B14FF" w:rsidP="001B14FF">
      <w:pPr>
        <w:rPr>
          <w:sz w:val="28"/>
          <w:szCs w:val="28"/>
        </w:rPr>
      </w:pPr>
    </w:p>
    <w:p w:rsidR="00A552A6" w:rsidRPr="005539CB" w:rsidRDefault="00A552A6" w:rsidP="001B14FF">
      <w:pPr>
        <w:rPr>
          <w:sz w:val="28"/>
          <w:szCs w:val="28"/>
        </w:rPr>
      </w:pPr>
    </w:p>
    <w:p w:rsidR="00DD170E" w:rsidRPr="00DD170E" w:rsidRDefault="00DD170E" w:rsidP="00DD170E">
      <w:pPr>
        <w:shd w:val="clear" w:color="auto" w:fill="FFFFFF"/>
        <w:spacing w:before="105" w:after="105" w:line="210" w:lineRule="atLeast"/>
        <w:jc w:val="both"/>
        <w:rPr>
          <w:rFonts w:ascii="Garamond" w:hAnsi="Garamond" w:cs="Tahoma"/>
          <w:b/>
          <w:color w:val="auto"/>
          <w:sz w:val="32"/>
          <w:szCs w:val="32"/>
          <w:u w:val="single"/>
        </w:rPr>
      </w:pPr>
      <w:r w:rsidRPr="00DD170E">
        <w:rPr>
          <w:rFonts w:ascii="Garamond" w:hAnsi="Garamond" w:cs="Tahoma"/>
          <w:b/>
          <w:color w:val="auto"/>
          <w:sz w:val="32"/>
          <w:szCs w:val="32"/>
          <w:u w:val="single"/>
        </w:rPr>
        <w:t>от  26.06.2012</w:t>
      </w:r>
    </w:p>
    <w:p w:rsidR="00DD170E" w:rsidRPr="00D42D60" w:rsidRDefault="00DD170E" w:rsidP="00DD170E">
      <w:pPr>
        <w:shd w:val="clear" w:color="auto" w:fill="FFFFFF"/>
        <w:spacing w:before="105" w:after="105" w:line="210" w:lineRule="atLeast"/>
        <w:jc w:val="both"/>
        <w:rPr>
          <w:rFonts w:ascii="Garamond" w:hAnsi="Garamond" w:cs="Tahoma"/>
          <w:b/>
          <w:color w:val="auto"/>
          <w:sz w:val="32"/>
          <w:szCs w:val="32"/>
        </w:rPr>
      </w:pPr>
    </w:p>
    <w:p w:rsidR="00DD170E" w:rsidRPr="00D42D60" w:rsidRDefault="00DD170E" w:rsidP="00DD170E">
      <w:pPr>
        <w:shd w:val="clear" w:color="auto" w:fill="FFFFFF"/>
        <w:spacing w:before="105" w:after="105" w:line="210" w:lineRule="atLeast"/>
        <w:ind w:firstLine="540"/>
        <w:jc w:val="center"/>
        <w:rPr>
          <w:b/>
          <w:color w:val="auto"/>
          <w:sz w:val="32"/>
          <w:szCs w:val="32"/>
        </w:rPr>
      </w:pPr>
      <w:r w:rsidRPr="00D42D60">
        <w:rPr>
          <w:b/>
          <w:color w:val="auto"/>
          <w:sz w:val="32"/>
          <w:szCs w:val="32"/>
        </w:rPr>
        <w:t>Уважаемый потребитель!</w:t>
      </w:r>
    </w:p>
    <w:p w:rsidR="00DD170E" w:rsidRPr="00D42D60" w:rsidRDefault="00DD170E" w:rsidP="00DD170E">
      <w:pPr>
        <w:shd w:val="clear" w:color="auto" w:fill="FFFFFF"/>
        <w:spacing w:before="105" w:after="105" w:line="210" w:lineRule="atLeast"/>
        <w:ind w:firstLine="540"/>
        <w:jc w:val="center"/>
        <w:rPr>
          <w:color w:val="auto"/>
          <w:sz w:val="16"/>
          <w:szCs w:val="16"/>
        </w:rPr>
      </w:pPr>
    </w:p>
    <w:p w:rsidR="00DD170E" w:rsidRPr="009A6325" w:rsidRDefault="00DD170E" w:rsidP="00DD170E">
      <w:pPr>
        <w:shd w:val="clear" w:color="auto" w:fill="FFFFFF"/>
        <w:spacing w:before="105" w:after="105" w:line="210" w:lineRule="atLeast"/>
        <w:ind w:firstLine="540"/>
        <w:jc w:val="both"/>
        <w:rPr>
          <w:color w:val="FF0000"/>
          <w:sz w:val="28"/>
          <w:szCs w:val="28"/>
        </w:rPr>
      </w:pPr>
      <w:r w:rsidRPr="00D42D60">
        <w:rPr>
          <w:color w:val="auto"/>
          <w:sz w:val="28"/>
          <w:szCs w:val="28"/>
        </w:rPr>
        <w:t xml:space="preserve">12 июня 2012 года вступило в силу </w:t>
      </w:r>
      <w:r w:rsidRPr="00D42D60">
        <w:rPr>
          <w:color w:val="auto"/>
          <w:sz w:val="28"/>
          <w:szCs w:val="28"/>
          <w:lang w:val="en"/>
        </w:rPr>
        <w:t> </w:t>
      </w:r>
      <w:r w:rsidRPr="00D42D60">
        <w:rPr>
          <w:color w:val="auto"/>
          <w:sz w:val="28"/>
          <w:szCs w:val="28"/>
        </w:rPr>
        <w:t xml:space="preserve">Постановление Правительства Российской Федерации от 04.05.2012 г. №442 </w:t>
      </w:r>
      <w:r w:rsidRPr="009A6325">
        <w:rPr>
          <w:color w:val="FF0000"/>
          <w:sz w:val="28"/>
          <w:szCs w:val="28"/>
        </w:rPr>
        <w:t>«О функционировании розничных рынков электрической энергии, полном и (или) частичном ограничении  режима потребления электрической энергии».</w:t>
      </w:r>
    </w:p>
    <w:p w:rsidR="00DD170E" w:rsidRPr="00D42D60" w:rsidRDefault="00DD170E" w:rsidP="00DD170E">
      <w:pPr>
        <w:shd w:val="clear" w:color="auto" w:fill="FFFFFF"/>
        <w:spacing w:before="105" w:after="105" w:line="210" w:lineRule="atLeast"/>
        <w:ind w:firstLine="540"/>
        <w:jc w:val="both"/>
        <w:rPr>
          <w:color w:val="auto"/>
          <w:sz w:val="28"/>
          <w:szCs w:val="28"/>
        </w:rPr>
      </w:pPr>
      <w:r w:rsidRPr="00DD170E">
        <w:rPr>
          <w:color w:val="auto"/>
          <w:sz w:val="28"/>
          <w:szCs w:val="28"/>
        </w:rPr>
        <w:t xml:space="preserve">Данным </w:t>
      </w:r>
      <w:r w:rsidRPr="00D42D60">
        <w:rPr>
          <w:color w:val="auto"/>
          <w:sz w:val="28"/>
          <w:szCs w:val="28"/>
        </w:rPr>
        <w:t>Постановлением утверждены Основные положения функционирования  розничных рынков электрической энергии</w:t>
      </w:r>
      <w:r>
        <w:rPr>
          <w:sz w:val="28"/>
          <w:szCs w:val="28"/>
        </w:rPr>
        <w:t xml:space="preserve"> </w:t>
      </w:r>
      <w:r w:rsidRPr="009A6325">
        <w:rPr>
          <w:color w:val="auto"/>
          <w:sz w:val="28"/>
          <w:szCs w:val="28"/>
        </w:rPr>
        <w:t>(ОПФРР),</w:t>
      </w:r>
      <w:r>
        <w:rPr>
          <w:sz w:val="28"/>
          <w:szCs w:val="28"/>
        </w:rPr>
        <w:t xml:space="preserve"> </w:t>
      </w:r>
      <w:r w:rsidRPr="00DD170E">
        <w:rPr>
          <w:b/>
          <w:sz w:val="28"/>
          <w:szCs w:val="28"/>
        </w:rPr>
        <w:t xml:space="preserve">а </w:t>
      </w:r>
      <w:r w:rsidRPr="00DD170E">
        <w:rPr>
          <w:color w:val="auto"/>
          <w:sz w:val="28"/>
          <w:szCs w:val="28"/>
        </w:rPr>
        <w:t xml:space="preserve">также </w:t>
      </w:r>
      <w:r w:rsidRPr="00D42D60">
        <w:rPr>
          <w:color w:val="auto"/>
          <w:sz w:val="28"/>
          <w:szCs w:val="28"/>
        </w:rPr>
        <w:t>Правила полного и (или) частичного ограничения режима потребления электрической энергии.</w:t>
      </w:r>
      <w:r>
        <w:rPr>
          <w:color w:val="auto"/>
          <w:sz w:val="28"/>
          <w:szCs w:val="28"/>
        </w:rPr>
        <w:t xml:space="preserve"> Более подробно ознакомиться с текстом данного документа можно на нашем сайте в разделе «Нормативно-правовая база». </w:t>
      </w:r>
    </w:p>
    <w:p w:rsidR="00DD170E" w:rsidRPr="00D42D60" w:rsidRDefault="00DD170E" w:rsidP="00DD170E">
      <w:pPr>
        <w:shd w:val="clear" w:color="auto" w:fill="FFFFFF"/>
        <w:spacing w:before="105" w:after="105" w:line="210" w:lineRule="atLeast"/>
        <w:ind w:firstLine="540"/>
        <w:jc w:val="both"/>
        <w:rPr>
          <w:color w:val="auto"/>
          <w:sz w:val="28"/>
          <w:szCs w:val="28"/>
        </w:rPr>
      </w:pPr>
    </w:p>
    <w:p w:rsidR="00DD170E" w:rsidRDefault="00DD170E" w:rsidP="00DD170E">
      <w:pPr>
        <w:rPr>
          <w:color w:val="auto"/>
          <w:sz w:val="28"/>
          <w:szCs w:val="28"/>
        </w:rPr>
      </w:pPr>
    </w:p>
    <w:p w:rsidR="00DD170E" w:rsidRDefault="00DD170E" w:rsidP="00DD170E">
      <w:pPr>
        <w:rPr>
          <w:color w:val="auto"/>
          <w:sz w:val="28"/>
          <w:szCs w:val="28"/>
        </w:rPr>
      </w:pPr>
    </w:p>
    <w:p w:rsidR="00DD170E" w:rsidRDefault="00DD170E" w:rsidP="00DD170E">
      <w:pPr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Администрация  ООО «Энергосбыт»</w:t>
      </w:r>
    </w:p>
    <w:p w:rsidR="00CE3C8D" w:rsidRDefault="00CE3C8D" w:rsidP="00DD170E">
      <w:pPr>
        <w:jc w:val="right"/>
        <w:rPr>
          <w:color w:val="auto"/>
          <w:sz w:val="28"/>
          <w:szCs w:val="28"/>
        </w:rPr>
      </w:pPr>
    </w:p>
    <w:p w:rsidR="00CE3C8D" w:rsidRDefault="00CE3C8D" w:rsidP="00DD170E">
      <w:pPr>
        <w:jc w:val="right"/>
        <w:rPr>
          <w:color w:val="auto"/>
          <w:sz w:val="28"/>
          <w:szCs w:val="28"/>
        </w:rPr>
      </w:pPr>
    </w:p>
    <w:p w:rsidR="00A552A6" w:rsidRDefault="00A552A6" w:rsidP="00DD170E">
      <w:pPr>
        <w:jc w:val="right"/>
        <w:rPr>
          <w:color w:val="auto"/>
          <w:sz w:val="28"/>
          <w:szCs w:val="28"/>
        </w:rPr>
      </w:pPr>
    </w:p>
    <w:p w:rsidR="00A552A6" w:rsidRDefault="00A552A6" w:rsidP="00DD170E">
      <w:pPr>
        <w:jc w:val="right"/>
        <w:rPr>
          <w:color w:val="auto"/>
          <w:sz w:val="28"/>
          <w:szCs w:val="28"/>
        </w:rPr>
      </w:pPr>
    </w:p>
    <w:p w:rsidR="00A552A6" w:rsidRDefault="00A552A6" w:rsidP="00DD170E">
      <w:pPr>
        <w:jc w:val="right"/>
        <w:rPr>
          <w:color w:val="auto"/>
          <w:sz w:val="28"/>
          <w:szCs w:val="28"/>
        </w:rPr>
      </w:pPr>
    </w:p>
    <w:p w:rsidR="00CE3C8D" w:rsidRPr="00D42D60" w:rsidRDefault="00CE3C8D" w:rsidP="00DD170E">
      <w:pPr>
        <w:jc w:val="right"/>
        <w:rPr>
          <w:color w:val="auto"/>
          <w:sz w:val="28"/>
          <w:szCs w:val="28"/>
        </w:rPr>
      </w:pPr>
    </w:p>
    <w:p w:rsidR="00B015EF" w:rsidRPr="00B015EF" w:rsidRDefault="00B015EF" w:rsidP="00B015EF">
      <w:pPr>
        <w:rPr>
          <w:rFonts w:ascii="Garamond" w:hAnsi="Garamond"/>
          <w:b/>
          <w:color w:val="auto"/>
          <w:sz w:val="32"/>
          <w:szCs w:val="32"/>
          <w:u w:val="single"/>
        </w:rPr>
      </w:pPr>
      <w:r w:rsidRPr="00B015EF">
        <w:rPr>
          <w:rFonts w:ascii="Garamond" w:hAnsi="Garamond"/>
          <w:b/>
          <w:color w:val="auto"/>
          <w:sz w:val="32"/>
          <w:szCs w:val="32"/>
          <w:u w:val="single"/>
        </w:rPr>
        <w:t>от  01.07.2012</w:t>
      </w:r>
    </w:p>
    <w:p w:rsidR="00B015EF" w:rsidRPr="00B015EF" w:rsidRDefault="00B015EF" w:rsidP="00B015EF">
      <w:pPr>
        <w:rPr>
          <w:rFonts w:ascii="Garamond" w:hAnsi="Garamond"/>
          <w:color w:val="auto"/>
          <w:sz w:val="32"/>
          <w:szCs w:val="32"/>
        </w:rPr>
      </w:pPr>
    </w:p>
    <w:p w:rsidR="00B015EF" w:rsidRDefault="00B015EF" w:rsidP="00D87731">
      <w:pPr>
        <w:jc w:val="center"/>
        <w:rPr>
          <w:b/>
          <w:color w:val="auto"/>
          <w:sz w:val="32"/>
          <w:szCs w:val="32"/>
        </w:rPr>
      </w:pPr>
      <w:r w:rsidRPr="00D87731">
        <w:rPr>
          <w:b/>
          <w:color w:val="auto"/>
          <w:sz w:val="32"/>
          <w:szCs w:val="32"/>
        </w:rPr>
        <w:t>Уважаемый  потребитель!</w:t>
      </w:r>
    </w:p>
    <w:p w:rsidR="00D87731" w:rsidRPr="00D87731" w:rsidRDefault="00D87731" w:rsidP="00D87731">
      <w:pPr>
        <w:jc w:val="center"/>
        <w:rPr>
          <w:b/>
          <w:color w:val="auto"/>
          <w:sz w:val="32"/>
          <w:szCs w:val="32"/>
        </w:rPr>
      </w:pPr>
    </w:p>
    <w:p w:rsidR="00B015EF" w:rsidRPr="00B015EF" w:rsidRDefault="00B015EF" w:rsidP="00D87731">
      <w:pPr>
        <w:pStyle w:val="a5"/>
        <w:shd w:val="clear" w:color="auto" w:fill="FFFFFF"/>
        <w:spacing w:before="0" w:after="0"/>
        <w:ind w:firstLine="1259"/>
        <w:rPr>
          <w:rFonts w:ascii="Times New Roman" w:hAnsi="Times New Roman" w:cs="Times New Roman"/>
          <w:color w:val="auto"/>
          <w:sz w:val="28"/>
          <w:szCs w:val="28"/>
        </w:rPr>
      </w:pPr>
      <w:r w:rsidRPr="00B015EF">
        <w:rPr>
          <w:rFonts w:ascii="Times New Roman" w:hAnsi="Times New Roman" w:cs="Times New Roman"/>
          <w:color w:val="auto"/>
          <w:sz w:val="28"/>
          <w:szCs w:val="28"/>
        </w:rPr>
        <w:t xml:space="preserve">Напоминаем вам, что с </w:t>
      </w:r>
      <w:r w:rsidRPr="00B015EF">
        <w:rPr>
          <w:rFonts w:ascii="Times New Roman" w:hAnsi="Times New Roman" w:cs="Times New Roman"/>
          <w:color w:val="FF0000"/>
          <w:sz w:val="28"/>
          <w:szCs w:val="28"/>
        </w:rPr>
        <w:t xml:space="preserve">1 июля </w:t>
      </w:r>
      <w:smartTag w:uri="urn:schemas-microsoft-com:office:smarttags" w:element="metricconverter">
        <w:smartTagPr>
          <w:attr w:name="ProductID" w:val="2012 г"/>
        </w:smartTagPr>
        <w:r w:rsidRPr="00B015EF">
          <w:rPr>
            <w:rFonts w:ascii="Times New Roman" w:hAnsi="Times New Roman" w:cs="Times New Roman"/>
            <w:color w:val="FF0000"/>
            <w:sz w:val="28"/>
            <w:szCs w:val="28"/>
          </w:rPr>
          <w:t>2012 г</w:t>
        </w:r>
      </w:smartTag>
      <w:r w:rsidRPr="00B015EF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B015EF">
        <w:rPr>
          <w:rFonts w:ascii="Times New Roman" w:hAnsi="Times New Roman" w:cs="Times New Roman"/>
          <w:color w:val="auto"/>
          <w:sz w:val="28"/>
          <w:szCs w:val="28"/>
        </w:rPr>
        <w:t xml:space="preserve"> изменяются тарифы на электрическую энергию для населения и приравненных к нему потребителей (</w:t>
      </w:r>
      <w:hyperlink r:id="rId13" w:history="1">
        <w:r w:rsidRPr="00B015EF">
          <w:rPr>
            <w:rFonts w:ascii="Times New Roman" w:hAnsi="Times New Roman" w:cs="Times New Roman"/>
            <w:color w:val="auto"/>
            <w:sz w:val="28"/>
            <w:szCs w:val="28"/>
          </w:rPr>
          <w:t>приказ Министерства энергетики и тарифной политики РМ от 24.11.2011 г. №</w:t>
        </w:r>
        <w:r>
          <w:rPr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B015EF">
          <w:rPr>
            <w:rFonts w:ascii="Times New Roman" w:hAnsi="Times New Roman" w:cs="Times New Roman"/>
            <w:color w:val="auto"/>
            <w:sz w:val="28"/>
            <w:szCs w:val="28"/>
          </w:rPr>
          <w:t>96, с изменениями и дополнениями от 9 февраля 2012 г.</w:t>
        </w:r>
      </w:hyperlink>
      <w:r w:rsidRPr="00B015EF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B015EF" w:rsidRPr="00B015EF" w:rsidRDefault="00B015EF" w:rsidP="00B015EF">
      <w:pPr>
        <w:ind w:firstLine="1080"/>
        <w:rPr>
          <w:rFonts w:ascii="Garamond" w:hAnsi="Garamond"/>
          <w:sz w:val="28"/>
          <w:szCs w:val="28"/>
        </w:rPr>
      </w:pPr>
      <w:r w:rsidRPr="00B015EF">
        <w:rPr>
          <w:rFonts w:ascii="Garamond" w:hAnsi="Garamond"/>
          <w:sz w:val="28"/>
          <w:szCs w:val="28"/>
        </w:rPr>
        <w:t xml:space="preserve"> </w:t>
      </w:r>
    </w:p>
    <w:p w:rsidR="00B015EF" w:rsidRPr="00B015EF" w:rsidRDefault="00B015EF" w:rsidP="00B015EF">
      <w:pPr>
        <w:ind w:firstLine="1080"/>
        <w:rPr>
          <w:rFonts w:ascii="Garamond" w:hAnsi="Garamond"/>
          <w:sz w:val="28"/>
          <w:szCs w:val="28"/>
        </w:rPr>
      </w:pPr>
    </w:p>
    <w:p w:rsidR="00B015EF" w:rsidRPr="00B015EF" w:rsidRDefault="00B015EF" w:rsidP="00B015EF">
      <w:pPr>
        <w:ind w:firstLine="1080"/>
        <w:jc w:val="right"/>
        <w:rPr>
          <w:rFonts w:ascii="Garamond" w:hAnsi="Garamond"/>
          <w:color w:val="auto"/>
          <w:sz w:val="28"/>
          <w:szCs w:val="28"/>
        </w:rPr>
      </w:pPr>
      <w:r w:rsidRPr="00B015EF">
        <w:rPr>
          <w:rFonts w:ascii="Garamond" w:hAnsi="Garamond"/>
          <w:color w:val="auto"/>
          <w:sz w:val="28"/>
          <w:szCs w:val="28"/>
        </w:rPr>
        <w:t>Администрация  ООО  «Энергосбыт»</w:t>
      </w:r>
    </w:p>
    <w:p w:rsidR="00B015EF" w:rsidRDefault="00B015EF" w:rsidP="00B015EF">
      <w:pPr>
        <w:ind w:firstLine="1080"/>
        <w:jc w:val="right"/>
        <w:rPr>
          <w:rFonts w:ascii="Garamond" w:hAnsi="Garamond"/>
          <w:b/>
          <w:color w:val="auto"/>
          <w:sz w:val="28"/>
          <w:szCs w:val="28"/>
        </w:rPr>
      </w:pPr>
    </w:p>
    <w:p w:rsidR="00B015EF" w:rsidRDefault="00B015EF" w:rsidP="00B015EF">
      <w:pPr>
        <w:jc w:val="right"/>
        <w:rPr>
          <w:rFonts w:ascii="Garamond" w:hAnsi="Garamond"/>
          <w:b/>
          <w:color w:val="auto"/>
          <w:sz w:val="28"/>
          <w:szCs w:val="28"/>
        </w:rPr>
      </w:pPr>
      <w:r>
        <w:rPr>
          <w:rFonts w:ascii="Garamond" w:hAnsi="Garamond"/>
          <w:b/>
          <w:color w:val="auto"/>
          <w:sz w:val="28"/>
          <w:szCs w:val="28"/>
        </w:rPr>
        <w:t>__________________________________________________________________</w:t>
      </w:r>
    </w:p>
    <w:p w:rsidR="001B14FF" w:rsidRDefault="001B14FF" w:rsidP="00B015EF"/>
    <w:p w:rsidR="00CE3C8D" w:rsidRDefault="00CE3C8D" w:rsidP="00B015EF"/>
    <w:p w:rsidR="00CE3C8D" w:rsidRPr="00CE3C8D" w:rsidRDefault="00CE3C8D" w:rsidP="00CE3C8D">
      <w:pPr>
        <w:rPr>
          <w:rFonts w:ascii="Garamond" w:hAnsi="Garamond"/>
          <w:b/>
          <w:color w:val="auto"/>
          <w:sz w:val="32"/>
          <w:szCs w:val="32"/>
          <w:u w:val="single"/>
        </w:rPr>
      </w:pPr>
      <w:r w:rsidRPr="00CE3C8D">
        <w:rPr>
          <w:rFonts w:ascii="Garamond" w:hAnsi="Garamond"/>
          <w:b/>
          <w:color w:val="auto"/>
          <w:sz w:val="32"/>
          <w:szCs w:val="32"/>
          <w:u w:val="single"/>
        </w:rPr>
        <w:t>от  18.07.2012</w:t>
      </w:r>
    </w:p>
    <w:p w:rsidR="00CE3C8D" w:rsidRDefault="00CE3C8D" w:rsidP="00A552A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Информационное письмо </w:t>
      </w:r>
      <w:r w:rsidRPr="005539CB">
        <w:rPr>
          <w:color w:val="000000"/>
          <w:sz w:val="28"/>
          <w:szCs w:val="28"/>
        </w:rPr>
        <w:t>Министерство энергетики и тарифной политики Республики Мордовия</w:t>
      </w:r>
      <w:r>
        <w:rPr>
          <w:color w:val="000000"/>
          <w:sz w:val="28"/>
          <w:szCs w:val="28"/>
        </w:rPr>
        <w:t xml:space="preserve"> </w:t>
      </w:r>
    </w:p>
    <w:p w:rsidR="00CE3C8D" w:rsidRPr="00CE3C8D" w:rsidRDefault="00CE3C8D" w:rsidP="00CE3C8D">
      <w:pPr>
        <w:ind w:firstLine="709"/>
        <w:jc w:val="center"/>
        <w:rPr>
          <w:color w:val="auto"/>
          <w:sz w:val="27"/>
          <w:szCs w:val="27"/>
        </w:rPr>
      </w:pPr>
    </w:p>
    <w:p w:rsidR="00CE3C8D" w:rsidRPr="00CE3C8D" w:rsidRDefault="00CE3C8D" w:rsidP="00CE3C8D">
      <w:pPr>
        <w:ind w:firstLine="709"/>
        <w:jc w:val="center"/>
        <w:rPr>
          <w:b/>
          <w:color w:val="auto"/>
          <w:sz w:val="28"/>
          <w:szCs w:val="28"/>
        </w:rPr>
      </w:pPr>
      <w:r w:rsidRPr="00CE3C8D">
        <w:rPr>
          <w:b/>
          <w:color w:val="auto"/>
          <w:sz w:val="28"/>
          <w:szCs w:val="28"/>
        </w:rPr>
        <w:t>Уважаемые потребители!</w:t>
      </w:r>
    </w:p>
    <w:p w:rsidR="00CE3C8D" w:rsidRPr="00CE3C8D" w:rsidRDefault="00CE3C8D" w:rsidP="00CE3C8D">
      <w:pPr>
        <w:ind w:firstLine="709"/>
        <w:jc w:val="both"/>
        <w:rPr>
          <w:color w:val="auto"/>
          <w:sz w:val="28"/>
          <w:szCs w:val="28"/>
        </w:rPr>
      </w:pPr>
    </w:p>
    <w:p w:rsidR="00CE3C8D" w:rsidRPr="00CE3C8D" w:rsidRDefault="00CE3C8D" w:rsidP="00A552A6">
      <w:pPr>
        <w:ind w:firstLine="1134"/>
        <w:jc w:val="both"/>
        <w:rPr>
          <w:color w:val="auto"/>
          <w:sz w:val="26"/>
          <w:szCs w:val="26"/>
        </w:rPr>
      </w:pPr>
      <w:r w:rsidRPr="00CE3C8D">
        <w:rPr>
          <w:color w:val="auto"/>
          <w:sz w:val="26"/>
          <w:szCs w:val="26"/>
        </w:rPr>
        <w:t>Министерство энергетики и тарифной политики Республики Мордовия доводит до Вашего сведения некоторые изменения в законодательстве в сфере электроэнергетики.</w:t>
      </w:r>
    </w:p>
    <w:p w:rsidR="00CE3C8D" w:rsidRPr="00CE3C8D" w:rsidRDefault="00CE3C8D" w:rsidP="00A552A6">
      <w:pPr>
        <w:ind w:firstLine="1134"/>
        <w:jc w:val="both"/>
        <w:rPr>
          <w:color w:val="auto"/>
          <w:sz w:val="26"/>
          <w:szCs w:val="26"/>
        </w:rPr>
      </w:pPr>
      <w:r w:rsidRPr="00CE3C8D">
        <w:rPr>
          <w:color w:val="auto"/>
          <w:sz w:val="26"/>
          <w:szCs w:val="26"/>
        </w:rPr>
        <w:t xml:space="preserve">В связи с вступлением в силу постановления Правительства Российской Федерации от 4 мая </w:t>
      </w:r>
      <w:smartTag w:uri="urn:schemas-microsoft-com:office:smarttags" w:element="metricconverter">
        <w:smartTagPr>
          <w:attr w:name="ProductID" w:val="2012 г"/>
        </w:smartTagPr>
        <w:r w:rsidRPr="00CE3C8D">
          <w:rPr>
            <w:color w:val="auto"/>
            <w:sz w:val="26"/>
            <w:szCs w:val="26"/>
          </w:rPr>
          <w:t>2012 г</w:t>
        </w:r>
      </w:smartTag>
      <w:r w:rsidRPr="00CE3C8D">
        <w:rPr>
          <w:color w:val="auto"/>
          <w:sz w:val="26"/>
          <w:szCs w:val="26"/>
        </w:rPr>
        <w:t xml:space="preserve">. N 442 "О функционировании розничных рынков электрической энергии, полном и (или) частичном ограничении режима потребления электрической энергии" существенно изменились условия применения тарифов на оказание услуг по передаче электрической энергии. </w:t>
      </w:r>
    </w:p>
    <w:p w:rsidR="00CE3C8D" w:rsidRPr="00CE3C8D" w:rsidRDefault="00CE3C8D" w:rsidP="00A552A6">
      <w:pPr>
        <w:ind w:firstLine="1134"/>
        <w:jc w:val="both"/>
        <w:rPr>
          <w:color w:val="auto"/>
          <w:sz w:val="26"/>
          <w:szCs w:val="26"/>
        </w:rPr>
      </w:pPr>
      <w:r w:rsidRPr="00CE3C8D">
        <w:rPr>
          <w:color w:val="auto"/>
          <w:sz w:val="26"/>
          <w:szCs w:val="26"/>
        </w:rPr>
        <w:t xml:space="preserve">В частности, в соответствии с п.15.1 Правил недискриминационного доступа к услугам по передаче электрической энергии и оказания этих услуг, утвержденных постановлением Правительства Российской Федерации от 27 декабря </w:t>
      </w:r>
      <w:smartTag w:uri="urn:schemas-microsoft-com:office:smarttags" w:element="metricconverter">
        <w:smartTagPr>
          <w:attr w:name="ProductID" w:val="2004 г"/>
        </w:smartTagPr>
        <w:r w:rsidRPr="00CE3C8D">
          <w:rPr>
            <w:color w:val="auto"/>
            <w:sz w:val="26"/>
            <w:szCs w:val="26"/>
          </w:rPr>
          <w:t>2004 г</w:t>
        </w:r>
      </w:smartTag>
      <w:r w:rsidRPr="00CE3C8D">
        <w:rPr>
          <w:color w:val="auto"/>
          <w:sz w:val="26"/>
          <w:szCs w:val="26"/>
        </w:rPr>
        <w:t xml:space="preserve">. N 861, объем услуг по передаче электрической энергии, оказанных сетевыми организациями при использовании </w:t>
      </w:r>
      <w:proofErr w:type="spellStart"/>
      <w:r w:rsidRPr="00CE3C8D">
        <w:rPr>
          <w:color w:val="auto"/>
          <w:sz w:val="26"/>
          <w:szCs w:val="26"/>
        </w:rPr>
        <w:t>двухставочного</w:t>
      </w:r>
      <w:proofErr w:type="spellEnd"/>
      <w:r w:rsidRPr="00CE3C8D">
        <w:rPr>
          <w:color w:val="auto"/>
          <w:sz w:val="26"/>
          <w:szCs w:val="26"/>
        </w:rPr>
        <w:t xml:space="preserve"> тарифа определяется исходя из фактического объема потребления электрической энергии и среднего арифметического значения из максимальных в каждые рабочие сутки расчетного периода фактических почасовых объемов потребления электрической энергии (суммарных по всем точкам поставки) в установленные системным оператором плановые часы пиковой нагрузки (фактическая мощность). </w:t>
      </w:r>
    </w:p>
    <w:p w:rsidR="00CE3C8D" w:rsidRPr="00CE3C8D" w:rsidRDefault="00CE3C8D" w:rsidP="00A552A6">
      <w:pPr>
        <w:ind w:firstLine="1134"/>
        <w:jc w:val="both"/>
        <w:rPr>
          <w:i/>
          <w:color w:val="auto"/>
          <w:sz w:val="26"/>
          <w:szCs w:val="26"/>
        </w:rPr>
      </w:pPr>
      <w:r w:rsidRPr="00CE3C8D">
        <w:rPr>
          <w:color w:val="auto"/>
          <w:sz w:val="26"/>
          <w:szCs w:val="26"/>
        </w:rPr>
        <w:t xml:space="preserve">В соответствии с п.81 Основ ценообразования в области регулируемых цен (тарифов) в электроэнергетике, утвержденных постановлением Правительства Российской Федерации от 29 декабря </w:t>
      </w:r>
      <w:smartTag w:uri="urn:schemas-microsoft-com:office:smarttags" w:element="metricconverter">
        <w:smartTagPr>
          <w:attr w:name="ProductID" w:val="2011 г"/>
        </w:smartTagPr>
        <w:r w:rsidRPr="00CE3C8D">
          <w:rPr>
            <w:color w:val="auto"/>
            <w:sz w:val="26"/>
            <w:szCs w:val="26"/>
          </w:rPr>
          <w:t>2011 г</w:t>
        </w:r>
      </w:smartTag>
      <w:r w:rsidRPr="00CE3C8D">
        <w:rPr>
          <w:color w:val="auto"/>
          <w:sz w:val="26"/>
          <w:szCs w:val="26"/>
        </w:rPr>
        <w:t xml:space="preserve">. N 1178, расчеты за услуги по передаче электрической энергии по электрическим сетям, принадлежащим на праве собственности или ином законном основании территориальным сетевым организациям, с потребителями, </w:t>
      </w:r>
      <w:proofErr w:type="spellStart"/>
      <w:r w:rsidRPr="00CE3C8D">
        <w:rPr>
          <w:color w:val="auto"/>
          <w:sz w:val="26"/>
          <w:szCs w:val="26"/>
        </w:rPr>
        <w:t>энергопринимающие</w:t>
      </w:r>
      <w:proofErr w:type="spellEnd"/>
      <w:r w:rsidRPr="00CE3C8D">
        <w:rPr>
          <w:color w:val="auto"/>
          <w:sz w:val="26"/>
          <w:szCs w:val="26"/>
        </w:rPr>
        <w:t xml:space="preserve"> устройства которых присоединены к сетям филиала ОАО «МРСК Волги» - «Мордовэнерго», арендованным у ОАО «Федеральная сетевая компания» (ПС 220 </w:t>
      </w:r>
      <w:proofErr w:type="spellStart"/>
      <w:r w:rsidRPr="00CE3C8D">
        <w:rPr>
          <w:color w:val="auto"/>
          <w:sz w:val="26"/>
          <w:szCs w:val="26"/>
        </w:rPr>
        <w:t>кВ</w:t>
      </w:r>
      <w:proofErr w:type="spellEnd"/>
      <w:r w:rsidRPr="00CE3C8D">
        <w:rPr>
          <w:color w:val="auto"/>
          <w:sz w:val="26"/>
          <w:szCs w:val="26"/>
        </w:rPr>
        <w:t xml:space="preserve">) или гарантирующими поставщиками, действующими в интересах указанных </w:t>
      </w:r>
      <w:r w:rsidRPr="00CE3C8D">
        <w:rPr>
          <w:color w:val="auto"/>
          <w:sz w:val="26"/>
          <w:szCs w:val="26"/>
        </w:rPr>
        <w:lastRenderedPageBreak/>
        <w:t xml:space="preserve">потребителей, производятся по </w:t>
      </w:r>
      <w:proofErr w:type="spellStart"/>
      <w:r w:rsidRPr="00CE3C8D">
        <w:rPr>
          <w:b/>
          <w:i/>
          <w:color w:val="auto"/>
          <w:sz w:val="26"/>
          <w:szCs w:val="26"/>
        </w:rPr>
        <w:t>двухставочному</w:t>
      </w:r>
      <w:proofErr w:type="spellEnd"/>
      <w:r w:rsidRPr="00CE3C8D">
        <w:rPr>
          <w:b/>
          <w:i/>
          <w:color w:val="auto"/>
          <w:sz w:val="26"/>
          <w:szCs w:val="26"/>
        </w:rPr>
        <w:t xml:space="preserve"> тарифу на услуги по передаче электрической энергии</w:t>
      </w:r>
      <w:r w:rsidRPr="00CE3C8D">
        <w:rPr>
          <w:i/>
          <w:color w:val="auto"/>
          <w:sz w:val="26"/>
          <w:szCs w:val="26"/>
        </w:rPr>
        <w:t>.</w:t>
      </w:r>
    </w:p>
    <w:p w:rsidR="00CE3C8D" w:rsidRPr="00CE3C8D" w:rsidRDefault="00CE3C8D" w:rsidP="00A552A6">
      <w:pPr>
        <w:ind w:firstLine="1134"/>
        <w:jc w:val="both"/>
        <w:rPr>
          <w:b/>
          <w:i/>
          <w:color w:val="auto"/>
          <w:sz w:val="26"/>
          <w:szCs w:val="26"/>
        </w:rPr>
      </w:pPr>
      <w:r w:rsidRPr="00CE3C8D">
        <w:rPr>
          <w:color w:val="auto"/>
          <w:sz w:val="26"/>
          <w:szCs w:val="26"/>
        </w:rPr>
        <w:t xml:space="preserve">Таким образом, в соответствии с п.97 Основных положений функционирования розничных рынков электрической энергии вышеуказанные потребители могут выбирать только между </w:t>
      </w:r>
      <w:r w:rsidRPr="00CE3C8D">
        <w:rPr>
          <w:b/>
          <w:i/>
          <w:color w:val="auto"/>
          <w:sz w:val="26"/>
          <w:szCs w:val="26"/>
        </w:rPr>
        <w:t>четвертой и шестой ценовыми категориями.</w:t>
      </w:r>
    </w:p>
    <w:p w:rsidR="00CE3C8D" w:rsidRPr="00CE3C8D" w:rsidRDefault="00CE3C8D" w:rsidP="00A552A6">
      <w:pPr>
        <w:ind w:firstLine="1134"/>
        <w:jc w:val="both"/>
        <w:rPr>
          <w:color w:val="auto"/>
          <w:sz w:val="26"/>
          <w:szCs w:val="26"/>
        </w:rPr>
      </w:pPr>
      <w:r w:rsidRPr="00CE3C8D">
        <w:rPr>
          <w:color w:val="auto"/>
          <w:sz w:val="26"/>
          <w:szCs w:val="26"/>
        </w:rPr>
        <w:t>Прошу Вас учесть данные изменения при осуществлении взаимодействия на розничном рынке электрической энергии по договорам энергоснабжения и договорам оказания услуг по передаче электрической энергии.</w:t>
      </w:r>
    </w:p>
    <w:p w:rsidR="00CE3C8D" w:rsidRDefault="00CE3C8D" w:rsidP="00A552A6">
      <w:pPr>
        <w:ind w:firstLine="1134"/>
        <w:rPr>
          <w:color w:val="auto"/>
        </w:rPr>
      </w:pPr>
    </w:p>
    <w:p w:rsidR="007A6F2E" w:rsidRDefault="007A6F2E" w:rsidP="00B015EF">
      <w:pPr>
        <w:rPr>
          <w:color w:val="auto"/>
        </w:rPr>
      </w:pPr>
      <w:r>
        <w:rPr>
          <w:color w:val="auto"/>
        </w:rPr>
        <w:t>_____________________________________________________________________________</w:t>
      </w:r>
    </w:p>
    <w:p w:rsidR="007A6F2E" w:rsidRDefault="007A6F2E" w:rsidP="00B015EF">
      <w:pPr>
        <w:rPr>
          <w:color w:val="auto"/>
        </w:rPr>
      </w:pPr>
    </w:p>
    <w:p w:rsidR="00A552A6" w:rsidRDefault="00A552A6" w:rsidP="00B015EF">
      <w:pPr>
        <w:rPr>
          <w:color w:val="auto"/>
        </w:rPr>
      </w:pPr>
    </w:p>
    <w:p w:rsidR="00022414" w:rsidRDefault="00022414" w:rsidP="00B015EF">
      <w:pPr>
        <w:rPr>
          <w:color w:val="auto"/>
        </w:rPr>
      </w:pPr>
    </w:p>
    <w:p w:rsidR="00467753" w:rsidRPr="00CE3C8D" w:rsidRDefault="00467753" w:rsidP="00467753">
      <w:pPr>
        <w:rPr>
          <w:rFonts w:ascii="Garamond" w:hAnsi="Garamond"/>
          <w:b/>
          <w:color w:val="auto"/>
          <w:sz w:val="32"/>
          <w:szCs w:val="32"/>
          <w:u w:val="single"/>
        </w:rPr>
      </w:pPr>
      <w:r>
        <w:rPr>
          <w:rFonts w:ascii="Garamond" w:hAnsi="Garamond"/>
          <w:b/>
          <w:color w:val="auto"/>
          <w:sz w:val="32"/>
          <w:szCs w:val="32"/>
          <w:u w:val="single"/>
        </w:rPr>
        <w:t>от  20.09</w:t>
      </w:r>
      <w:r w:rsidRPr="00CE3C8D">
        <w:rPr>
          <w:rFonts w:ascii="Garamond" w:hAnsi="Garamond"/>
          <w:b/>
          <w:color w:val="auto"/>
          <w:sz w:val="32"/>
          <w:szCs w:val="32"/>
          <w:u w:val="single"/>
        </w:rPr>
        <w:t>.2012</w:t>
      </w:r>
    </w:p>
    <w:p w:rsidR="00A552A6" w:rsidRDefault="00A552A6" w:rsidP="00467753">
      <w:pPr>
        <w:rPr>
          <w:color w:val="000000"/>
          <w:sz w:val="26"/>
          <w:szCs w:val="26"/>
        </w:rPr>
      </w:pPr>
    </w:p>
    <w:p w:rsidR="00A552A6" w:rsidRPr="00467753" w:rsidRDefault="00A552A6" w:rsidP="00467753">
      <w:pPr>
        <w:rPr>
          <w:color w:val="000000"/>
          <w:sz w:val="26"/>
          <w:szCs w:val="26"/>
        </w:rPr>
      </w:pPr>
    </w:p>
    <w:p w:rsidR="00022414" w:rsidRDefault="00022414" w:rsidP="00022414">
      <w:pPr>
        <w:pStyle w:val="a5"/>
        <w:shd w:val="clear" w:color="auto" w:fill="FFFFFF"/>
        <w:spacing w:line="210" w:lineRule="atLeast"/>
        <w:jc w:val="center"/>
        <w:rPr>
          <w:rFonts w:ascii="Garamond" w:hAnsi="Garamond"/>
          <w:b/>
          <w:color w:val="auto"/>
          <w:sz w:val="28"/>
          <w:szCs w:val="28"/>
        </w:rPr>
      </w:pPr>
      <w:r>
        <w:rPr>
          <w:rFonts w:ascii="Garamond" w:hAnsi="Garamond"/>
          <w:b/>
          <w:color w:val="auto"/>
          <w:sz w:val="28"/>
          <w:szCs w:val="28"/>
        </w:rPr>
        <w:t>Уважаемые потребители</w:t>
      </w:r>
      <w:r w:rsidRPr="00022414">
        <w:rPr>
          <w:rFonts w:ascii="Garamond" w:hAnsi="Garamond"/>
          <w:b/>
          <w:color w:val="auto"/>
          <w:sz w:val="28"/>
          <w:szCs w:val="28"/>
        </w:rPr>
        <w:t>!</w:t>
      </w:r>
    </w:p>
    <w:p w:rsidR="00A552A6" w:rsidRDefault="00A552A6" w:rsidP="00022414">
      <w:pPr>
        <w:pStyle w:val="a5"/>
        <w:shd w:val="clear" w:color="auto" w:fill="FFFFFF"/>
        <w:spacing w:line="210" w:lineRule="atLeast"/>
        <w:jc w:val="center"/>
        <w:rPr>
          <w:rFonts w:ascii="Garamond" w:hAnsi="Garamond"/>
          <w:b/>
          <w:color w:val="auto"/>
          <w:sz w:val="28"/>
          <w:szCs w:val="28"/>
        </w:rPr>
      </w:pPr>
    </w:p>
    <w:p w:rsidR="00022414" w:rsidRPr="00835BDF" w:rsidRDefault="00022414" w:rsidP="00835BDF">
      <w:pPr>
        <w:pStyle w:val="a5"/>
        <w:shd w:val="clear" w:color="auto" w:fill="FFFFFF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35BDF">
        <w:rPr>
          <w:rFonts w:ascii="Times New Roman" w:hAnsi="Times New Roman" w:cs="Times New Roman"/>
          <w:color w:val="auto"/>
          <w:sz w:val="28"/>
          <w:szCs w:val="28"/>
        </w:rPr>
        <w:t>Приказом Министерства энергетики и тарифной политики Республики Мордовия от 18 сентября 2012 года № 80 «Об установлении нормативов потребления коммунальных услуг для населения, проживающего на территории Республики Мордовия» установлены нормативы потребления коммунальных услуг для населения Республики Мордовия при отсутствии приборов учета потребления коммунальных ресурсов.</w:t>
      </w:r>
    </w:p>
    <w:p w:rsidR="00835BDF" w:rsidRDefault="00835BDF" w:rsidP="00835BDF">
      <w:pPr>
        <w:pStyle w:val="a5"/>
        <w:shd w:val="clear" w:color="auto" w:fill="FFFFFF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835BDF">
        <w:rPr>
          <w:rFonts w:ascii="Times New Roman" w:hAnsi="Times New Roman" w:cs="Times New Roman"/>
          <w:color w:val="auto"/>
          <w:sz w:val="28"/>
          <w:szCs w:val="28"/>
        </w:rPr>
        <w:t xml:space="preserve">Пунктом 5, 6, 7 настоящего приказа установлены </w:t>
      </w:r>
      <w:r w:rsidRPr="00835BD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нормативы </w:t>
      </w:r>
      <w:r w:rsidRPr="00835BDF">
        <w:rPr>
          <w:rFonts w:ascii="Times New Roman" w:hAnsi="Times New Roman" w:cs="Times New Roman"/>
          <w:color w:val="auto"/>
          <w:sz w:val="28"/>
          <w:szCs w:val="28"/>
        </w:rPr>
        <w:t>потребления коммунальной услуги по электроснабжению:</w:t>
      </w:r>
    </w:p>
    <w:p w:rsidR="00A552A6" w:rsidRPr="00835BDF" w:rsidRDefault="00A552A6" w:rsidP="00835BDF">
      <w:pPr>
        <w:pStyle w:val="a5"/>
        <w:shd w:val="clear" w:color="auto" w:fill="FFFFFF"/>
        <w:spacing w:before="0" w:after="0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835BDF" w:rsidRPr="00835BDF" w:rsidRDefault="00835BDF" w:rsidP="00835BDF">
      <w:pPr>
        <w:jc w:val="both"/>
        <w:rPr>
          <w:bCs/>
          <w:color w:val="auto"/>
          <w:sz w:val="28"/>
          <w:szCs w:val="28"/>
        </w:rPr>
      </w:pPr>
      <w:r w:rsidRPr="00835BDF">
        <w:rPr>
          <w:bCs/>
          <w:color w:val="auto"/>
          <w:sz w:val="28"/>
          <w:szCs w:val="28"/>
        </w:rPr>
        <w:t xml:space="preserve">«… 5. Установить нормативы </w:t>
      </w:r>
      <w:r w:rsidRPr="00835BDF">
        <w:rPr>
          <w:color w:val="auto"/>
          <w:sz w:val="28"/>
          <w:szCs w:val="28"/>
        </w:rPr>
        <w:t>потребления коммунальной услуги по электроснабжению в жилых помещениях многоквартирных домов и жилых домов для населения, проживающего на территории Республики Мордовия</w:t>
      </w:r>
      <w:r w:rsidRPr="00835BDF">
        <w:rPr>
          <w:bCs/>
          <w:color w:val="auto"/>
          <w:sz w:val="28"/>
          <w:szCs w:val="28"/>
        </w:rPr>
        <w:t>, согласно приложению № 5.</w:t>
      </w:r>
    </w:p>
    <w:p w:rsidR="00835BDF" w:rsidRPr="00835BDF" w:rsidRDefault="00835BDF" w:rsidP="00835BDF">
      <w:pPr>
        <w:autoSpaceDE w:val="0"/>
        <w:autoSpaceDN w:val="0"/>
        <w:adjustRightInd w:val="0"/>
        <w:ind w:firstLine="709"/>
        <w:jc w:val="both"/>
        <w:rPr>
          <w:bCs/>
          <w:color w:val="auto"/>
          <w:sz w:val="28"/>
          <w:szCs w:val="28"/>
        </w:rPr>
      </w:pPr>
      <w:r w:rsidRPr="00835BDF">
        <w:rPr>
          <w:bCs/>
          <w:color w:val="auto"/>
          <w:sz w:val="28"/>
          <w:szCs w:val="28"/>
        </w:rPr>
        <w:t xml:space="preserve">6. Установить нормативы </w:t>
      </w:r>
      <w:r w:rsidRPr="00835BDF">
        <w:rPr>
          <w:color w:val="auto"/>
          <w:sz w:val="28"/>
          <w:szCs w:val="28"/>
        </w:rPr>
        <w:t xml:space="preserve">потребления коммунальной услуги по электроснабжению на общедомовые нужды для населения, проживающего в многоквартирных домах  на территории Республики Мордовия, </w:t>
      </w:r>
      <w:r w:rsidRPr="00835BDF">
        <w:rPr>
          <w:bCs/>
          <w:color w:val="auto"/>
          <w:sz w:val="28"/>
          <w:szCs w:val="28"/>
        </w:rPr>
        <w:t>согласно приложению № 6.</w:t>
      </w:r>
    </w:p>
    <w:p w:rsidR="00835BDF" w:rsidRPr="00835BDF" w:rsidRDefault="00835BDF" w:rsidP="00835BDF">
      <w:pPr>
        <w:ind w:firstLine="709"/>
        <w:jc w:val="both"/>
        <w:rPr>
          <w:bCs/>
          <w:color w:val="auto"/>
          <w:sz w:val="28"/>
          <w:szCs w:val="28"/>
        </w:rPr>
      </w:pPr>
      <w:r w:rsidRPr="00835BDF">
        <w:rPr>
          <w:bCs/>
          <w:color w:val="auto"/>
          <w:sz w:val="28"/>
          <w:szCs w:val="28"/>
        </w:rPr>
        <w:t xml:space="preserve">7. Установить нормативы </w:t>
      </w:r>
      <w:r w:rsidRPr="00835BDF">
        <w:rPr>
          <w:color w:val="auto"/>
          <w:sz w:val="28"/>
          <w:szCs w:val="28"/>
        </w:rPr>
        <w:t>потребления коммунальной услуги по электроснабжению при использовании земельного участка и надворных построек для населения, проживающего  на территории Республики Мордовия</w:t>
      </w:r>
      <w:r w:rsidRPr="00835BDF">
        <w:rPr>
          <w:bCs/>
          <w:color w:val="auto"/>
          <w:sz w:val="28"/>
          <w:szCs w:val="28"/>
        </w:rPr>
        <w:t>, согласно приложению № 7».</w:t>
      </w:r>
    </w:p>
    <w:p w:rsidR="00A552A6" w:rsidRDefault="00A552A6" w:rsidP="00835BDF">
      <w:pPr>
        <w:ind w:firstLine="709"/>
        <w:jc w:val="both"/>
        <w:rPr>
          <w:bCs/>
          <w:color w:val="auto"/>
          <w:sz w:val="28"/>
          <w:szCs w:val="28"/>
        </w:rPr>
      </w:pPr>
    </w:p>
    <w:p w:rsidR="00A552A6" w:rsidRDefault="00A552A6" w:rsidP="00835BDF">
      <w:pPr>
        <w:ind w:firstLine="709"/>
        <w:jc w:val="both"/>
        <w:rPr>
          <w:bCs/>
          <w:color w:val="auto"/>
          <w:sz w:val="28"/>
          <w:szCs w:val="28"/>
        </w:rPr>
      </w:pPr>
    </w:p>
    <w:p w:rsidR="00A552A6" w:rsidRDefault="00A552A6" w:rsidP="00835BDF">
      <w:pPr>
        <w:ind w:firstLine="709"/>
        <w:jc w:val="both"/>
        <w:rPr>
          <w:bCs/>
          <w:color w:val="auto"/>
          <w:sz w:val="28"/>
          <w:szCs w:val="28"/>
        </w:rPr>
      </w:pPr>
    </w:p>
    <w:p w:rsidR="00A552A6" w:rsidRDefault="00A552A6" w:rsidP="00835BDF">
      <w:pPr>
        <w:ind w:firstLine="709"/>
        <w:jc w:val="both"/>
        <w:rPr>
          <w:bCs/>
          <w:color w:val="auto"/>
          <w:sz w:val="28"/>
          <w:szCs w:val="28"/>
        </w:rPr>
      </w:pPr>
    </w:p>
    <w:p w:rsidR="00A552A6" w:rsidRDefault="00A552A6" w:rsidP="00835BDF">
      <w:pPr>
        <w:ind w:firstLine="709"/>
        <w:jc w:val="both"/>
        <w:rPr>
          <w:bCs/>
          <w:color w:val="auto"/>
          <w:sz w:val="28"/>
          <w:szCs w:val="28"/>
        </w:rPr>
      </w:pPr>
    </w:p>
    <w:p w:rsidR="00A552A6" w:rsidRDefault="00A552A6" w:rsidP="00835BDF">
      <w:pPr>
        <w:ind w:firstLine="709"/>
        <w:jc w:val="both"/>
        <w:rPr>
          <w:bCs/>
          <w:color w:val="auto"/>
          <w:sz w:val="28"/>
          <w:szCs w:val="28"/>
        </w:rPr>
      </w:pPr>
    </w:p>
    <w:p w:rsidR="00A552A6" w:rsidRDefault="00A552A6" w:rsidP="00835BDF">
      <w:pPr>
        <w:ind w:firstLine="709"/>
        <w:jc w:val="both"/>
        <w:rPr>
          <w:bCs/>
          <w:color w:val="auto"/>
          <w:sz w:val="28"/>
          <w:szCs w:val="28"/>
        </w:rPr>
      </w:pPr>
    </w:p>
    <w:p w:rsidR="00A552A6" w:rsidRPr="00835BDF" w:rsidRDefault="00A552A6" w:rsidP="00835BDF">
      <w:pPr>
        <w:ind w:firstLine="709"/>
        <w:jc w:val="both"/>
        <w:rPr>
          <w:bCs/>
          <w:color w:val="auto"/>
          <w:sz w:val="28"/>
          <w:szCs w:val="28"/>
        </w:rPr>
      </w:pPr>
    </w:p>
    <w:p w:rsidR="00022414" w:rsidRPr="00835BDF" w:rsidRDefault="00022414" w:rsidP="00022414">
      <w:pPr>
        <w:jc w:val="right"/>
        <w:rPr>
          <w:color w:val="auto"/>
        </w:rPr>
      </w:pPr>
      <w:r w:rsidRPr="00835BDF">
        <w:rPr>
          <w:color w:val="auto"/>
        </w:rPr>
        <w:lastRenderedPageBreak/>
        <w:t>Приложение № 5</w:t>
      </w:r>
    </w:p>
    <w:p w:rsidR="00022414" w:rsidRPr="00835BDF" w:rsidRDefault="00022414" w:rsidP="00022414">
      <w:pPr>
        <w:jc w:val="right"/>
        <w:rPr>
          <w:color w:val="auto"/>
        </w:rPr>
      </w:pPr>
      <w:r w:rsidRPr="00835BDF">
        <w:rPr>
          <w:color w:val="auto"/>
        </w:rPr>
        <w:t xml:space="preserve">к приказу Министерства                                                 </w:t>
      </w:r>
    </w:p>
    <w:p w:rsidR="00022414" w:rsidRPr="00835BDF" w:rsidRDefault="00022414" w:rsidP="00022414">
      <w:pPr>
        <w:jc w:val="right"/>
        <w:rPr>
          <w:color w:val="auto"/>
        </w:rPr>
      </w:pPr>
      <w:r w:rsidRPr="00835BDF">
        <w:rPr>
          <w:color w:val="auto"/>
        </w:rPr>
        <w:t xml:space="preserve">                         энергетики и тарифной политики </w:t>
      </w:r>
    </w:p>
    <w:p w:rsidR="00022414" w:rsidRPr="00835BDF" w:rsidRDefault="00022414" w:rsidP="00022414">
      <w:pPr>
        <w:jc w:val="right"/>
        <w:rPr>
          <w:color w:val="auto"/>
        </w:rPr>
      </w:pPr>
      <w:r w:rsidRPr="00835BDF">
        <w:rPr>
          <w:color w:val="auto"/>
        </w:rPr>
        <w:t>Республики Мордовия</w:t>
      </w:r>
    </w:p>
    <w:p w:rsidR="00022414" w:rsidRPr="00835BDF" w:rsidRDefault="00022414" w:rsidP="00022414">
      <w:pPr>
        <w:jc w:val="center"/>
        <w:rPr>
          <w:color w:val="auto"/>
        </w:rPr>
      </w:pPr>
      <w:r w:rsidRPr="00835BDF">
        <w:rPr>
          <w:color w:val="auto"/>
        </w:rPr>
        <w:t xml:space="preserve">                                                                               </w:t>
      </w:r>
      <w:r w:rsidR="00835BDF">
        <w:rPr>
          <w:color w:val="auto"/>
        </w:rPr>
        <w:t xml:space="preserve">                       </w:t>
      </w:r>
      <w:r w:rsidRPr="00835BDF">
        <w:rPr>
          <w:color w:val="auto"/>
        </w:rPr>
        <w:t>от 18 сентября 2012 года № 80</w:t>
      </w:r>
    </w:p>
    <w:p w:rsidR="00A552A6" w:rsidRPr="00835BDF" w:rsidRDefault="00A552A6" w:rsidP="00022414">
      <w:pPr>
        <w:ind w:firstLine="708"/>
        <w:jc w:val="both"/>
        <w:rPr>
          <w:color w:val="auto"/>
          <w:sz w:val="28"/>
          <w:szCs w:val="28"/>
        </w:rPr>
      </w:pPr>
    </w:p>
    <w:p w:rsidR="00022414" w:rsidRPr="00835BDF" w:rsidRDefault="00022414" w:rsidP="00022414">
      <w:pPr>
        <w:ind w:firstLine="708"/>
        <w:jc w:val="center"/>
        <w:rPr>
          <w:b/>
          <w:color w:val="auto"/>
        </w:rPr>
      </w:pPr>
      <w:r w:rsidRPr="00835BDF">
        <w:rPr>
          <w:b/>
          <w:color w:val="auto"/>
        </w:rPr>
        <w:t>Нормативы потребления коммунальной услуги по электроснабжению в жилых помещениях многоквартирных домов и жилых домов для населения, проживающего на территории Республики Мордовия</w:t>
      </w:r>
    </w:p>
    <w:p w:rsidR="00022414" w:rsidRPr="00835BDF" w:rsidRDefault="00022414" w:rsidP="00022414">
      <w:pPr>
        <w:ind w:firstLine="708"/>
        <w:jc w:val="center"/>
        <w:rPr>
          <w:b/>
          <w:color w:val="auto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3544"/>
        <w:gridCol w:w="850"/>
        <w:gridCol w:w="709"/>
        <w:gridCol w:w="850"/>
        <w:gridCol w:w="1276"/>
      </w:tblGrid>
      <w:tr w:rsidR="00835BDF" w:rsidRPr="00835BDF" w:rsidTr="00022414"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Показатели среднего количества проживающих и типа установленных плит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Количество комнат в квартире</w:t>
            </w:r>
          </w:p>
        </w:tc>
      </w:tr>
      <w:tr w:rsidR="00835BDF" w:rsidRPr="00835BDF" w:rsidTr="00022414">
        <w:tc>
          <w:tcPr>
            <w:tcW w:w="13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b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both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Одна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both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Две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both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Три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both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Четыре и более</w:t>
            </w:r>
          </w:p>
        </w:tc>
      </w:tr>
      <w:tr w:rsidR="00835BDF" w:rsidRPr="00835BDF" w:rsidTr="00022414">
        <w:tc>
          <w:tcPr>
            <w:tcW w:w="13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b/>
                <w:color w:val="auto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 xml:space="preserve">Норматив потребления коммунальной услуги, </w:t>
            </w:r>
          </w:p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proofErr w:type="spellStart"/>
            <w:r w:rsidRPr="00835BDF">
              <w:rPr>
                <w:color w:val="auto"/>
              </w:rPr>
              <w:t>кВт·</w:t>
            </w:r>
            <w:proofErr w:type="gramStart"/>
            <w:r w:rsidRPr="00835BDF">
              <w:rPr>
                <w:color w:val="auto"/>
              </w:rPr>
              <w:t>ч</w:t>
            </w:r>
            <w:proofErr w:type="spellEnd"/>
            <w:proofErr w:type="gramEnd"/>
            <w:r w:rsidRPr="00835BDF">
              <w:rPr>
                <w:color w:val="auto"/>
              </w:rPr>
              <w:t xml:space="preserve"> на 1 человека в месяц</w:t>
            </w:r>
          </w:p>
        </w:tc>
      </w:tr>
      <w:tr w:rsidR="00835BDF" w:rsidRPr="00835BDF" w:rsidTr="0002241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6</w:t>
            </w:r>
          </w:p>
        </w:tc>
      </w:tr>
      <w:tr w:rsidR="00835BDF" w:rsidRPr="00835BDF" w:rsidTr="00022414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Жилые помещения в многоквартирных  домах и жилых домов:</w:t>
            </w:r>
          </w:p>
        </w:tc>
      </w:tr>
      <w:tr w:rsidR="00835BDF" w:rsidRPr="00835BDF" w:rsidTr="00022414">
        <w:trPr>
          <w:trHeight w:val="435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С учётом проживания 1 человека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газовыми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152</w:t>
            </w:r>
          </w:p>
        </w:tc>
      </w:tr>
      <w:tr w:rsidR="00835BDF" w:rsidRPr="00835BDF" w:rsidTr="00022414">
        <w:trPr>
          <w:trHeight w:val="402"/>
        </w:trPr>
        <w:tc>
          <w:tcPr>
            <w:tcW w:w="97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электрическими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200</w:t>
            </w:r>
          </w:p>
        </w:tc>
      </w:tr>
      <w:tr w:rsidR="00835BDF" w:rsidRPr="00835BDF" w:rsidTr="00022414">
        <w:trPr>
          <w:trHeight w:val="550"/>
        </w:trPr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С учётом проживания 2 человек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газовыми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94</w:t>
            </w:r>
          </w:p>
        </w:tc>
      </w:tr>
      <w:tr w:rsidR="00835BDF" w:rsidRPr="00835BDF" w:rsidTr="00022414">
        <w:trPr>
          <w:trHeight w:val="403"/>
        </w:trPr>
        <w:tc>
          <w:tcPr>
            <w:tcW w:w="9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электрическими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124</w:t>
            </w:r>
          </w:p>
        </w:tc>
      </w:tr>
      <w:tr w:rsidR="00835BDF" w:rsidRPr="00835BDF" w:rsidTr="00022414">
        <w:trPr>
          <w:trHeight w:val="539"/>
        </w:trPr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С учётом проживания 3 человек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газовыми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73</w:t>
            </w:r>
          </w:p>
        </w:tc>
      </w:tr>
      <w:tr w:rsidR="00835BDF" w:rsidRPr="00835BDF" w:rsidTr="00022414">
        <w:trPr>
          <w:trHeight w:val="532"/>
        </w:trPr>
        <w:tc>
          <w:tcPr>
            <w:tcW w:w="9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электрическими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96</w:t>
            </w:r>
          </w:p>
        </w:tc>
      </w:tr>
      <w:tr w:rsidR="00835BDF" w:rsidRPr="00835BDF" w:rsidTr="00022414">
        <w:trPr>
          <w:trHeight w:val="399"/>
        </w:trPr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С учётом проживания 4 человек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газовыми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59</w:t>
            </w:r>
          </w:p>
        </w:tc>
      </w:tr>
      <w:tr w:rsidR="00835BDF" w:rsidRPr="00835BDF" w:rsidTr="00022414">
        <w:trPr>
          <w:trHeight w:val="379"/>
        </w:trPr>
        <w:tc>
          <w:tcPr>
            <w:tcW w:w="9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электрическими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78</w:t>
            </w:r>
          </w:p>
        </w:tc>
      </w:tr>
      <w:tr w:rsidR="00835BDF" w:rsidRPr="00835BDF" w:rsidTr="00022414">
        <w:trPr>
          <w:trHeight w:val="496"/>
        </w:trPr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С учётом проживания 5 человек и более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газовыми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52</w:t>
            </w:r>
          </w:p>
        </w:tc>
      </w:tr>
      <w:tr w:rsidR="00835BDF" w:rsidRPr="00835BDF" w:rsidTr="00022414">
        <w:trPr>
          <w:trHeight w:val="509"/>
        </w:trPr>
        <w:tc>
          <w:tcPr>
            <w:tcW w:w="9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электрическими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68</w:t>
            </w:r>
          </w:p>
        </w:tc>
      </w:tr>
      <w:tr w:rsidR="00835BDF" w:rsidRPr="00835BDF" w:rsidTr="00022414">
        <w:trPr>
          <w:trHeight w:val="330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Жилые помещения в многоквартирных домах, построенных по типу общежитий:</w:t>
            </w:r>
          </w:p>
        </w:tc>
      </w:tr>
      <w:tr w:rsidR="00835BDF" w:rsidRPr="00835BDF" w:rsidTr="00022414">
        <w:trPr>
          <w:trHeight w:val="451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С учётом проживания 1 человека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газовыми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117</w:t>
            </w:r>
          </w:p>
        </w:tc>
      </w:tr>
      <w:tr w:rsidR="00835BDF" w:rsidRPr="00835BDF" w:rsidTr="00022414">
        <w:trPr>
          <w:trHeight w:val="303"/>
        </w:trPr>
        <w:tc>
          <w:tcPr>
            <w:tcW w:w="97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электрическими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167</w:t>
            </w:r>
          </w:p>
        </w:tc>
      </w:tr>
      <w:tr w:rsidR="00835BDF" w:rsidRPr="00835BDF" w:rsidTr="00022414">
        <w:trPr>
          <w:trHeight w:val="567"/>
        </w:trPr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С учётом проживания 2 человек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газовыми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72</w:t>
            </w:r>
          </w:p>
        </w:tc>
      </w:tr>
      <w:tr w:rsidR="00835BDF" w:rsidRPr="00835BDF" w:rsidTr="00022414">
        <w:trPr>
          <w:trHeight w:val="405"/>
        </w:trPr>
        <w:tc>
          <w:tcPr>
            <w:tcW w:w="9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электрическими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104</w:t>
            </w:r>
          </w:p>
        </w:tc>
      </w:tr>
      <w:tr w:rsidR="00835BDF" w:rsidRPr="00835BDF" w:rsidTr="00022414">
        <w:trPr>
          <w:trHeight w:val="399"/>
        </w:trPr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С учётом проживания 3 человек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газовыми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56</w:t>
            </w:r>
          </w:p>
        </w:tc>
      </w:tr>
      <w:tr w:rsidR="00835BDF" w:rsidRPr="00835BDF" w:rsidTr="00022414">
        <w:trPr>
          <w:trHeight w:val="549"/>
        </w:trPr>
        <w:tc>
          <w:tcPr>
            <w:tcW w:w="9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электрическими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80</w:t>
            </w:r>
          </w:p>
        </w:tc>
      </w:tr>
      <w:tr w:rsidR="00835BDF" w:rsidRPr="00835BDF" w:rsidTr="00022414">
        <w:trPr>
          <w:trHeight w:val="401"/>
        </w:trPr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С учётом проживания 4 человек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газовыми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45</w:t>
            </w:r>
          </w:p>
        </w:tc>
      </w:tr>
      <w:tr w:rsidR="00835BDF" w:rsidRPr="00835BDF" w:rsidTr="00022414">
        <w:trPr>
          <w:trHeight w:val="557"/>
        </w:trPr>
        <w:tc>
          <w:tcPr>
            <w:tcW w:w="9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электрическими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65</w:t>
            </w:r>
          </w:p>
        </w:tc>
      </w:tr>
      <w:tr w:rsidR="00835BDF" w:rsidRPr="00835BDF" w:rsidTr="00022414">
        <w:trPr>
          <w:trHeight w:val="551"/>
        </w:trPr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С учётом проживания 5 человек и более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газовыми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40</w:t>
            </w:r>
          </w:p>
        </w:tc>
      </w:tr>
      <w:tr w:rsidR="00835BDF" w:rsidRPr="00835BDF" w:rsidTr="00022414">
        <w:trPr>
          <w:trHeight w:val="544"/>
        </w:trPr>
        <w:tc>
          <w:tcPr>
            <w:tcW w:w="9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с электрическими плитами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57</w:t>
            </w:r>
          </w:p>
        </w:tc>
      </w:tr>
    </w:tbl>
    <w:p w:rsidR="00022414" w:rsidRPr="00835BDF" w:rsidRDefault="00022414" w:rsidP="00022414">
      <w:pPr>
        <w:jc w:val="right"/>
        <w:rPr>
          <w:color w:val="auto"/>
        </w:rPr>
      </w:pPr>
      <w:r w:rsidRPr="00835BDF">
        <w:rPr>
          <w:color w:val="auto"/>
        </w:rPr>
        <w:lastRenderedPageBreak/>
        <w:t>Приложение № 6</w:t>
      </w:r>
    </w:p>
    <w:p w:rsidR="00022414" w:rsidRPr="00835BDF" w:rsidRDefault="00022414" w:rsidP="00022414">
      <w:pPr>
        <w:jc w:val="right"/>
        <w:rPr>
          <w:color w:val="auto"/>
        </w:rPr>
      </w:pPr>
      <w:r w:rsidRPr="00835BDF">
        <w:rPr>
          <w:color w:val="auto"/>
        </w:rPr>
        <w:t xml:space="preserve">к приказу Министерства                                                 </w:t>
      </w:r>
    </w:p>
    <w:p w:rsidR="00022414" w:rsidRPr="00835BDF" w:rsidRDefault="00022414" w:rsidP="00022414">
      <w:pPr>
        <w:jc w:val="right"/>
        <w:rPr>
          <w:color w:val="auto"/>
        </w:rPr>
      </w:pPr>
      <w:r w:rsidRPr="00835BDF">
        <w:rPr>
          <w:color w:val="auto"/>
        </w:rPr>
        <w:t xml:space="preserve">                         энергетики и тарифной политики </w:t>
      </w:r>
    </w:p>
    <w:p w:rsidR="00022414" w:rsidRPr="00835BDF" w:rsidRDefault="00022414" w:rsidP="00022414">
      <w:pPr>
        <w:jc w:val="right"/>
        <w:rPr>
          <w:color w:val="auto"/>
        </w:rPr>
      </w:pPr>
      <w:r w:rsidRPr="00835BDF">
        <w:rPr>
          <w:color w:val="auto"/>
        </w:rPr>
        <w:t>Республики Мордовия</w:t>
      </w:r>
    </w:p>
    <w:p w:rsidR="00022414" w:rsidRDefault="00022414" w:rsidP="00022414">
      <w:pPr>
        <w:jc w:val="center"/>
        <w:rPr>
          <w:color w:val="auto"/>
        </w:rPr>
      </w:pPr>
      <w:r w:rsidRPr="00835BDF">
        <w:rPr>
          <w:color w:val="auto"/>
        </w:rPr>
        <w:t xml:space="preserve">                                                                              </w:t>
      </w:r>
      <w:r w:rsidR="00835BDF">
        <w:rPr>
          <w:color w:val="auto"/>
        </w:rPr>
        <w:t xml:space="preserve">                      </w:t>
      </w:r>
      <w:r w:rsidRPr="00835BDF">
        <w:rPr>
          <w:color w:val="auto"/>
        </w:rPr>
        <w:t xml:space="preserve"> от 18 сентября 2012 года № 80</w:t>
      </w:r>
    </w:p>
    <w:p w:rsidR="00A552A6" w:rsidRPr="00A552A6" w:rsidRDefault="00A552A6" w:rsidP="00022414">
      <w:pPr>
        <w:jc w:val="center"/>
        <w:rPr>
          <w:color w:val="auto"/>
          <w:sz w:val="16"/>
          <w:szCs w:val="16"/>
        </w:rPr>
      </w:pPr>
    </w:p>
    <w:p w:rsidR="00022414" w:rsidRPr="00835BDF" w:rsidRDefault="00022414" w:rsidP="00022414">
      <w:pPr>
        <w:autoSpaceDE w:val="0"/>
        <w:autoSpaceDN w:val="0"/>
        <w:adjustRightInd w:val="0"/>
        <w:ind w:firstLine="540"/>
        <w:jc w:val="center"/>
        <w:rPr>
          <w:b/>
          <w:color w:val="auto"/>
        </w:rPr>
      </w:pPr>
      <w:r w:rsidRPr="00835BDF">
        <w:rPr>
          <w:b/>
          <w:color w:val="auto"/>
        </w:rPr>
        <w:t>Нормативы потребления коммунальной услуги по электроснабжению на общедомовые нужды для населения, проживающего в многоквартирных домах  на территории Республики Мордовия</w:t>
      </w:r>
    </w:p>
    <w:p w:rsidR="00022414" w:rsidRPr="00A552A6" w:rsidRDefault="00022414" w:rsidP="00022414">
      <w:pPr>
        <w:autoSpaceDE w:val="0"/>
        <w:autoSpaceDN w:val="0"/>
        <w:adjustRightInd w:val="0"/>
        <w:ind w:firstLine="540"/>
        <w:jc w:val="right"/>
        <w:outlineLvl w:val="2"/>
        <w:rPr>
          <w:b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633"/>
        <w:gridCol w:w="1415"/>
        <w:gridCol w:w="2849"/>
      </w:tblGrid>
      <w:tr w:rsidR="00835BDF" w:rsidRPr="00835BDF" w:rsidTr="000224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 xml:space="preserve">№ </w:t>
            </w:r>
            <w:proofErr w:type="gramStart"/>
            <w:r w:rsidRPr="00835BDF">
              <w:rPr>
                <w:b/>
                <w:color w:val="auto"/>
              </w:rPr>
              <w:t>п</w:t>
            </w:r>
            <w:proofErr w:type="gramEnd"/>
            <w:r w:rsidRPr="00835BDF">
              <w:rPr>
                <w:b/>
                <w:color w:val="auto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Наименование коммунальной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>Этажность здания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auto"/>
              </w:rPr>
            </w:pPr>
            <w:r w:rsidRPr="00835BDF">
              <w:rPr>
                <w:b/>
                <w:color w:val="auto"/>
              </w:rPr>
              <w:t xml:space="preserve">Норматив потребления коммунальной услуги, </w:t>
            </w:r>
            <w:proofErr w:type="spellStart"/>
            <w:r w:rsidRPr="00835BDF">
              <w:rPr>
                <w:color w:val="auto"/>
              </w:rPr>
              <w:t>кВт·</w:t>
            </w:r>
            <w:proofErr w:type="gramStart"/>
            <w:r w:rsidRPr="00835BDF">
              <w:rPr>
                <w:color w:val="auto"/>
              </w:rPr>
              <w:t>ч</w:t>
            </w:r>
            <w:proofErr w:type="spellEnd"/>
            <w:proofErr w:type="gramEnd"/>
            <w:r w:rsidRPr="00835BDF">
              <w:rPr>
                <w:color w:val="auto"/>
              </w:rPr>
              <w:t xml:space="preserve"> в месяц на 1 кв. метр  общей площади помещений, входящих в состав общего  имущества в многоквартирном доме</w:t>
            </w:r>
          </w:p>
        </w:tc>
      </w:tr>
      <w:tr w:rsidR="00835BDF" w:rsidRPr="00835BDF" w:rsidTr="000224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</w:t>
            </w:r>
          </w:p>
        </w:tc>
      </w:tr>
      <w:tr w:rsidR="00835BDF" w:rsidRPr="00835BDF" w:rsidTr="00022414">
        <w:trPr>
          <w:trHeight w:val="30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1.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 xml:space="preserve">Электроснабжение для освещения общедомовых помещений многоквартирных  домов (лестничные и этажные площадки,  коридоры, тамбуры, входы в подъезд, вестибюли, помещения производственно-технического назначения, чердаки, </w:t>
            </w:r>
            <w:proofErr w:type="spellStart"/>
            <w:r w:rsidRPr="00835BDF">
              <w:rPr>
                <w:color w:val="auto"/>
              </w:rPr>
              <w:t>электрощитовые</w:t>
            </w:r>
            <w:proofErr w:type="spellEnd"/>
            <w:r w:rsidRPr="00835BDF">
              <w:rPr>
                <w:color w:val="auto"/>
              </w:rPr>
              <w:t xml:space="preserve">, </w:t>
            </w:r>
            <w:proofErr w:type="spellStart"/>
            <w:r w:rsidRPr="00835BDF">
              <w:rPr>
                <w:color w:val="auto"/>
              </w:rPr>
              <w:t>техподполья</w:t>
            </w:r>
            <w:proofErr w:type="spellEnd"/>
            <w:r w:rsidRPr="00835BDF">
              <w:rPr>
                <w:color w:val="auto"/>
              </w:rPr>
              <w:t>, и др.).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1-2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1,49</w:t>
            </w:r>
          </w:p>
        </w:tc>
      </w:tr>
      <w:tr w:rsidR="00835BDF" w:rsidRPr="00835BDF" w:rsidTr="00022414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3-4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2,26</w:t>
            </w:r>
          </w:p>
        </w:tc>
      </w:tr>
      <w:tr w:rsidR="00835BDF" w:rsidRPr="00835BDF" w:rsidTr="00022414">
        <w:trPr>
          <w:trHeight w:val="2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2,56</w:t>
            </w:r>
          </w:p>
        </w:tc>
      </w:tr>
      <w:tr w:rsidR="00835BDF" w:rsidRPr="00835BDF" w:rsidTr="00022414">
        <w:trPr>
          <w:trHeight w:val="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6-9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3,60</w:t>
            </w:r>
          </w:p>
        </w:tc>
      </w:tr>
      <w:tr w:rsidR="00835BDF" w:rsidRPr="00835BDF" w:rsidTr="00022414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10-15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4,72</w:t>
            </w:r>
          </w:p>
        </w:tc>
      </w:tr>
      <w:tr w:rsidR="00835BDF" w:rsidRPr="00835BDF" w:rsidTr="000224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16 и выше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6,98</w:t>
            </w:r>
          </w:p>
        </w:tc>
      </w:tr>
      <w:tr w:rsidR="00835BDF" w:rsidRPr="00835BDF" w:rsidTr="000224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2.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 xml:space="preserve">Электроснабжение силового электрооборудования лифтов, включая схемы управления и сигнализации, освещение кабины лифтов, а также другие виды электрооборудования (системы противопожарного оборудования и </w:t>
            </w:r>
            <w:proofErr w:type="spellStart"/>
            <w:r w:rsidRPr="00835BDF">
              <w:rPr>
                <w:color w:val="auto"/>
              </w:rPr>
              <w:t>дымоудаления</w:t>
            </w:r>
            <w:proofErr w:type="spellEnd"/>
            <w:r w:rsidRPr="00835BDF">
              <w:rPr>
                <w:color w:val="auto"/>
              </w:rPr>
              <w:t xml:space="preserve"> и др.).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-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</w:p>
        </w:tc>
      </w:tr>
      <w:tr w:rsidR="00835BDF" w:rsidRPr="00835BDF" w:rsidTr="000224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-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</w:p>
        </w:tc>
      </w:tr>
      <w:tr w:rsidR="00835BDF" w:rsidRPr="00835BDF" w:rsidTr="000224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6-9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2,31</w:t>
            </w:r>
          </w:p>
        </w:tc>
      </w:tr>
      <w:tr w:rsidR="00835BDF" w:rsidRPr="00835BDF" w:rsidTr="000224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10-15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2,66</w:t>
            </w:r>
          </w:p>
        </w:tc>
      </w:tr>
      <w:tr w:rsidR="00835BDF" w:rsidRPr="00835BDF" w:rsidTr="000224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16 и выше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2,97</w:t>
            </w:r>
          </w:p>
        </w:tc>
      </w:tr>
      <w:tr w:rsidR="00835BDF" w:rsidRPr="00835BDF" w:rsidTr="000224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Электроснабжение насосного оборудования подачи холодного и горячего водоснабжения и аппаратуры управления насосами, установленными непосредственно в многоквартирном доме (или на группу домов).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-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0,41</w:t>
            </w:r>
          </w:p>
        </w:tc>
      </w:tr>
      <w:tr w:rsidR="00835BDF" w:rsidRPr="00835BDF" w:rsidTr="000224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835BDF">
              <w:rPr>
                <w:color w:val="auto"/>
              </w:rPr>
              <w:t>Электроснабжение циркуляционного насосного оборудования системы горячего водоснабжения для отопления при независимой схеме присоединения отопления многоквартирного дома.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-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0,41</w:t>
            </w:r>
          </w:p>
        </w:tc>
      </w:tr>
    </w:tbl>
    <w:p w:rsidR="00022414" w:rsidRPr="00835BDF" w:rsidRDefault="00022414" w:rsidP="00022414">
      <w:pPr>
        <w:autoSpaceDE w:val="0"/>
        <w:autoSpaceDN w:val="0"/>
        <w:adjustRightInd w:val="0"/>
        <w:ind w:firstLine="540"/>
        <w:jc w:val="center"/>
        <w:rPr>
          <w:color w:val="auto"/>
        </w:rPr>
      </w:pPr>
    </w:p>
    <w:p w:rsidR="00022414" w:rsidRPr="00835BDF" w:rsidRDefault="00022414" w:rsidP="00022414">
      <w:pPr>
        <w:autoSpaceDE w:val="0"/>
        <w:autoSpaceDN w:val="0"/>
        <w:adjustRightInd w:val="0"/>
        <w:ind w:firstLine="567"/>
        <w:jc w:val="both"/>
        <w:rPr>
          <w:b/>
          <w:color w:val="auto"/>
          <w:lang w:val="en-US"/>
        </w:rPr>
      </w:pPr>
      <w:r w:rsidRPr="00835BDF">
        <w:rPr>
          <w:b/>
          <w:color w:val="auto"/>
        </w:rPr>
        <w:t>Примечание</w:t>
      </w:r>
      <w:r w:rsidRPr="00835BDF">
        <w:rPr>
          <w:b/>
          <w:color w:val="auto"/>
          <w:lang w:val="en-US"/>
        </w:rPr>
        <w:t>:</w:t>
      </w:r>
    </w:p>
    <w:p w:rsidR="00022414" w:rsidRPr="00A552A6" w:rsidRDefault="00022414" w:rsidP="00022414">
      <w:pPr>
        <w:autoSpaceDE w:val="0"/>
        <w:autoSpaceDN w:val="0"/>
        <w:adjustRightInd w:val="0"/>
        <w:ind w:firstLine="567"/>
        <w:jc w:val="both"/>
        <w:rPr>
          <w:color w:val="auto"/>
          <w:sz w:val="22"/>
          <w:szCs w:val="22"/>
        </w:rPr>
      </w:pPr>
      <w:r w:rsidRPr="00A552A6">
        <w:rPr>
          <w:color w:val="auto"/>
          <w:sz w:val="22"/>
          <w:szCs w:val="22"/>
        </w:rPr>
        <w:t xml:space="preserve">1. Норматив потребления коммунальной услуги по электроснабжению насосного оборудования подачи холодного и горячего водоснабжения и аппаратуры управления насосами, установленными непосредственно в многоквартирном жилом доме (или на группу домов), применяется в случае, если электрооборудование не находится на балансе </w:t>
      </w:r>
      <w:proofErr w:type="spellStart"/>
      <w:r w:rsidRPr="00A552A6">
        <w:rPr>
          <w:color w:val="auto"/>
          <w:sz w:val="22"/>
          <w:szCs w:val="22"/>
        </w:rPr>
        <w:t>ресурсоснабжающей</w:t>
      </w:r>
      <w:proofErr w:type="spellEnd"/>
      <w:r w:rsidRPr="00A552A6">
        <w:rPr>
          <w:color w:val="auto"/>
          <w:sz w:val="22"/>
          <w:szCs w:val="22"/>
        </w:rPr>
        <w:t xml:space="preserve"> организации.</w:t>
      </w:r>
    </w:p>
    <w:p w:rsidR="00022414" w:rsidRPr="00A552A6" w:rsidRDefault="00022414" w:rsidP="00022414">
      <w:pPr>
        <w:ind w:firstLine="567"/>
        <w:jc w:val="both"/>
        <w:rPr>
          <w:color w:val="auto"/>
          <w:sz w:val="22"/>
          <w:szCs w:val="22"/>
        </w:rPr>
      </w:pPr>
      <w:r w:rsidRPr="00A552A6">
        <w:rPr>
          <w:color w:val="auto"/>
          <w:sz w:val="22"/>
          <w:szCs w:val="22"/>
        </w:rPr>
        <w:t>2.  Норматив потребления коммунальной услуги по электроснабжению циркуляционного насосного оборудования системы горячего водоснабжения для отопления при независимой схеме присоединения отопления многоквартирного  дома применяется в отопительный период.</w:t>
      </w:r>
    </w:p>
    <w:p w:rsidR="00022414" w:rsidRPr="00835BDF" w:rsidRDefault="00022414" w:rsidP="00022414">
      <w:pPr>
        <w:jc w:val="right"/>
        <w:rPr>
          <w:color w:val="auto"/>
        </w:rPr>
      </w:pPr>
    </w:p>
    <w:p w:rsidR="00022414" w:rsidRPr="00835BDF" w:rsidRDefault="00022414" w:rsidP="00022414">
      <w:pPr>
        <w:jc w:val="right"/>
        <w:rPr>
          <w:color w:val="auto"/>
        </w:rPr>
      </w:pPr>
      <w:r w:rsidRPr="00835BDF">
        <w:rPr>
          <w:color w:val="auto"/>
        </w:rPr>
        <w:lastRenderedPageBreak/>
        <w:t>Приложение № 7</w:t>
      </w:r>
    </w:p>
    <w:p w:rsidR="00022414" w:rsidRPr="00835BDF" w:rsidRDefault="00022414" w:rsidP="00022414">
      <w:pPr>
        <w:jc w:val="right"/>
        <w:rPr>
          <w:color w:val="auto"/>
        </w:rPr>
      </w:pPr>
      <w:r w:rsidRPr="00835BDF">
        <w:rPr>
          <w:color w:val="auto"/>
        </w:rPr>
        <w:t xml:space="preserve">                                                                                 к приказу Министерства                                                 </w:t>
      </w:r>
    </w:p>
    <w:p w:rsidR="00022414" w:rsidRPr="00835BDF" w:rsidRDefault="00022414" w:rsidP="00022414">
      <w:pPr>
        <w:jc w:val="right"/>
        <w:rPr>
          <w:color w:val="auto"/>
        </w:rPr>
      </w:pPr>
      <w:r w:rsidRPr="00835BDF">
        <w:rPr>
          <w:color w:val="auto"/>
        </w:rPr>
        <w:t xml:space="preserve">                         энергетики и тарифной политики </w:t>
      </w:r>
    </w:p>
    <w:p w:rsidR="00022414" w:rsidRPr="00835BDF" w:rsidRDefault="00022414" w:rsidP="00022414">
      <w:pPr>
        <w:jc w:val="right"/>
        <w:rPr>
          <w:color w:val="auto"/>
        </w:rPr>
      </w:pPr>
      <w:r w:rsidRPr="00835BDF">
        <w:rPr>
          <w:color w:val="auto"/>
        </w:rPr>
        <w:t>Республики Мордовия</w:t>
      </w:r>
    </w:p>
    <w:p w:rsidR="00022414" w:rsidRPr="00835BDF" w:rsidRDefault="00022414" w:rsidP="00022414">
      <w:pPr>
        <w:jc w:val="center"/>
        <w:rPr>
          <w:color w:val="auto"/>
        </w:rPr>
      </w:pPr>
      <w:r w:rsidRPr="00835BDF">
        <w:rPr>
          <w:color w:val="auto"/>
        </w:rPr>
        <w:t xml:space="preserve">                                                                               </w:t>
      </w:r>
      <w:r w:rsidR="00835BDF">
        <w:rPr>
          <w:color w:val="auto"/>
        </w:rPr>
        <w:t xml:space="preserve">                      </w:t>
      </w:r>
      <w:r w:rsidRPr="00835BDF">
        <w:rPr>
          <w:color w:val="auto"/>
        </w:rPr>
        <w:t>от 18 сентября 2012 года № 80</w:t>
      </w:r>
    </w:p>
    <w:p w:rsidR="00022414" w:rsidRPr="00835BDF" w:rsidRDefault="00022414" w:rsidP="00022414">
      <w:pPr>
        <w:jc w:val="right"/>
        <w:rPr>
          <w:b/>
          <w:color w:val="auto"/>
        </w:rPr>
      </w:pPr>
    </w:p>
    <w:p w:rsidR="00022414" w:rsidRPr="00835BDF" w:rsidRDefault="00022414" w:rsidP="00022414">
      <w:pPr>
        <w:jc w:val="right"/>
        <w:rPr>
          <w:b/>
          <w:color w:val="auto"/>
        </w:rPr>
      </w:pPr>
      <w:r w:rsidRPr="00835BDF">
        <w:rPr>
          <w:b/>
          <w:color w:val="auto"/>
        </w:rPr>
        <w:t xml:space="preserve">Нормативы потребления коммунальной услуги по электроснабжению </w:t>
      </w:r>
    </w:p>
    <w:p w:rsidR="00022414" w:rsidRPr="00835BDF" w:rsidRDefault="00022414" w:rsidP="00022414">
      <w:pPr>
        <w:autoSpaceDE w:val="0"/>
        <w:autoSpaceDN w:val="0"/>
        <w:adjustRightInd w:val="0"/>
        <w:ind w:firstLine="540"/>
        <w:jc w:val="center"/>
        <w:rPr>
          <w:b/>
          <w:color w:val="auto"/>
        </w:rPr>
      </w:pPr>
      <w:r w:rsidRPr="00835BDF">
        <w:rPr>
          <w:b/>
          <w:color w:val="auto"/>
        </w:rPr>
        <w:t>при использовании земельного участка и надворных построек для населения, проживающего  на территории Республики Мордовия</w:t>
      </w:r>
    </w:p>
    <w:p w:rsidR="00022414" w:rsidRPr="00835BDF" w:rsidRDefault="00022414" w:rsidP="00022414">
      <w:pPr>
        <w:autoSpaceDE w:val="0"/>
        <w:autoSpaceDN w:val="0"/>
        <w:adjustRightInd w:val="0"/>
        <w:ind w:firstLine="540"/>
        <w:jc w:val="center"/>
        <w:rPr>
          <w:b/>
          <w:color w:val="auto"/>
        </w:rPr>
      </w:pPr>
    </w:p>
    <w:p w:rsidR="00022414" w:rsidRPr="00835BDF" w:rsidRDefault="00022414" w:rsidP="00022414">
      <w:pPr>
        <w:autoSpaceDE w:val="0"/>
        <w:autoSpaceDN w:val="0"/>
        <w:adjustRightInd w:val="0"/>
        <w:ind w:firstLine="540"/>
        <w:jc w:val="right"/>
        <w:rPr>
          <w:b/>
          <w:i/>
          <w:color w:val="auto"/>
        </w:rPr>
      </w:pPr>
    </w:p>
    <w:tbl>
      <w:tblPr>
        <w:tblW w:w="9796" w:type="dxa"/>
        <w:tblInd w:w="93" w:type="dxa"/>
        <w:tblLook w:val="00A0" w:firstRow="1" w:lastRow="0" w:firstColumn="1" w:lastColumn="0" w:noHBand="0" w:noVBand="0"/>
      </w:tblPr>
      <w:tblGrid>
        <w:gridCol w:w="852"/>
        <w:gridCol w:w="3058"/>
        <w:gridCol w:w="1350"/>
        <w:gridCol w:w="1134"/>
        <w:gridCol w:w="1559"/>
        <w:gridCol w:w="1843"/>
      </w:tblGrid>
      <w:tr w:rsidR="00835BDF" w:rsidRPr="00835BDF" w:rsidTr="00022414">
        <w:trPr>
          <w:trHeight w:val="675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b/>
                <w:bCs/>
                <w:color w:val="auto"/>
              </w:rPr>
            </w:pPr>
            <w:r w:rsidRPr="00835BDF">
              <w:rPr>
                <w:b/>
                <w:bCs/>
                <w:color w:val="auto"/>
              </w:rPr>
              <w:t xml:space="preserve">№ </w:t>
            </w:r>
            <w:proofErr w:type="gramStart"/>
            <w:r w:rsidRPr="00835BDF">
              <w:rPr>
                <w:b/>
                <w:bCs/>
                <w:color w:val="auto"/>
              </w:rPr>
              <w:t>п</w:t>
            </w:r>
            <w:proofErr w:type="gramEnd"/>
            <w:r w:rsidRPr="00835BDF">
              <w:rPr>
                <w:b/>
                <w:bCs/>
                <w:color w:val="auto"/>
              </w:rPr>
              <w:t>/п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b/>
                <w:bCs/>
                <w:color w:val="auto"/>
              </w:rPr>
            </w:pPr>
            <w:r w:rsidRPr="00835BDF">
              <w:rPr>
                <w:b/>
                <w:bCs/>
                <w:color w:val="auto"/>
              </w:rPr>
              <w:t>Направление использования коммунальной услуги</w:t>
            </w:r>
          </w:p>
        </w:tc>
        <w:tc>
          <w:tcPr>
            <w:tcW w:w="5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2414" w:rsidRPr="00835BDF" w:rsidRDefault="00022414">
            <w:pPr>
              <w:jc w:val="center"/>
              <w:rPr>
                <w:b/>
                <w:bCs/>
                <w:color w:val="auto"/>
              </w:rPr>
            </w:pPr>
            <w:r w:rsidRPr="00835BDF">
              <w:rPr>
                <w:b/>
                <w:bCs/>
                <w:color w:val="auto"/>
              </w:rPr>
              <w:t xml:space="preserve">Норматив потребления коммунальной услуги, </w:t>
            </w:r>
            <w:proofErr w:type="spellStart"/>
            <w:r w:rsidRPr="00835BDF">
              <w:rPr>
                <w:color w:val="auto"/>
              </w:rPr>
              <w:t>кВт·</w:t>
            </w:r>
            <w:proofErr w:type="gramStart"/>
            <w:r w:rsidRPr="00835BDF">
              <w:rPr>
                <w:color w:val="auto"/>
              </w:rPr>
              <w:t>ч</w:t>
            </w:r>
            <w:proofErr w:type="spellEnd"/>
            <w:proofErr w:type="gramEnd"/>
            <w:r w:rsidRPr="00835BDF">
              <w:rPr>
                <w:color w:val="auto"/>
              </w:rPr>
              <w:t xml:space="preserve"> в месяц на 1 голову животного (птицы)</w:t>
            </w:r>
          </w:p>
        </w:tc>
      </w:tr>
      <w:tr w:rsidR="00835BDF" w:rsidRPr="00835BDF" w:rsidTr="00022414">
        <w:trPr>
          <w:trHeight w:val="6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b/>
                <w:bCs/>
                <w:color w:val="aut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2414" w:rsidRPr="00835BDF" w:rsidRDefault="00022414">
            <w:pPr>
              <w:jc w:val="center"/>
              <w:rPr>
                <w:b/>
                <w:bCs/>
                <w:color w:val="auto"/>
              </w:rPr>
            </w:pPr>
            <w:r w:rsidRPr="00835BDF">
              <w:rPr>
                <w:b/>
                <w:bCs/>
                <w:color w:val="auto"/>
              </w:rPr>
              <w:t>Коровы, лошади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b/>
                <w:bCs/>
                <w:color w:val="auto"/>
              </w:rPr>
            </w:pPr>
            <w:r w:rsidRPr="00835BDF">
              <w:rPr>
                <w:b/>
                <w:bCs/>
                <w:color w:val="auto"/>
              </w:rPr>
              <w:t>Свиньи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b/>
                <w:bCs/>
                <w:color w:val="auto"/>
              </w:rPr>
            </w:pPr>
            <w:r w:rsidRPr="00835BDF">
              <w:rPr>
                <w:b/>
                <w:bCs/>
                <w:color w:val="auto"/>
              </w:rPr>
              <w:t>Овцы, козы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b/>
                <w:bCs/>
                <w:color w:val="auto"/>
              </w:rPr>
            </w:pPr>
            <w:r w:rsidRPr="00835BDF">
              <w:rPr>
                <w:b/>
                <w:bCs/>
                <w:color w:val="auto"/>
              </w:rPr>
              <w:t>Птицы, кролики, норки</w:t>
            </w:r>
          </w:p>
        </w:tc>
      </w:tr>
      <w:tr w:rsidR="00835BDF" w:rsidRPr="00835BDF" w:rsidTr="00022414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b/>
                <w:bCs/>
                <w:color w:val="auto"/>
              </w:rPr>
            </w:pPr>
            <w:r w:rsidRPr="00835BDF">
              <w:rPr>
                <w:b/>
                <w:bCs/>
                <w:color w:val="auto"/>
              </w:rPr>
              <w:t>1</w:t>
            </w:r>
          </w:p>
        </w:tc>
        <w:tc>
          <w:tcPr>
            <w:tcW w:w="30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b/>
                <w:bCs/>
                <w:color w:val="auto"/>
              </w:rPr>
            </w:pPr>
            <w:r w:rsidRPr="00835BDF">
              <w:rPr>
                <w:b/>
                <w:bCs/>
                <w:color w:val="auto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b/>
                <w:bCs/>
                <w:color w:val="auto"/>
              </w:rPr>
            </w:pPr>
            <w:r w:rsidRPr="00835BDF">
              <w:rPr>
                <w:b/>
                <w:bCs/>
                <w:color w:val="auto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b/>
                <w:bCs/>
                <w:color w:val="auto"/>
              </w:rPr>
            </w:pPr>
            <w:r w:rsidRPr="00835BDF">
              <w:rPr>
                <w:b/>
                <w:bCs/>
                <w:color w:val="auto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b/>
                <w:bCs/>
                <w:color w:val="auto"/>
              </w:rPr>
            </w:pPr>
            <w:r w:rsidRPr="00835BDF">
              <w:rPr>
                <w:b/>
                <w:bCs/>
                <w:color w:val="auto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b/>
                <w:bCs/>
                <w:color w:val="auto"/>
              </w:rPr>
            </w:pPr>
            <w:r w:rsidRPr="00835BDF">
              <w:rPr>
                <w:b/>
                <w:bCs/>
                <w:color w:val="auto"/>
              </w:rPr>
              <w:t>6</w:t>
            </w:r>
          </w:p>
        </w:tc>
      </w:tr>
      <w:tr w:rsidR="00835BDF" w:rsidRPr="00835BDF" w:rsidTr="00022414">
        <w:trPr>
          <w:trHeight w:val="5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bCs/>
                <w:color w:val="auto"/>
              </w:rPr>
            </w:pPr>
            <w:r w:rsidRPr="00835BDF">
              <w:rPr>
                <w:bCs/>
                <w:color w:val="auto"/>
              </w:rPr>
              <w:t>1.</w:t>
            </w:r>
          </w:p>
        </w:tc>
        <w:tc>
          <w:tcPr>
            <w:tcW w:w="3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bCs/>
                <w:color w:val="auto"/>
              </w:rPr>
            </w:pPr>
            <w:r w:rsidRPr="00835BDF">
              <w:rPr>
                <w:bCs/>
                <w:color w:val="auto"/>
              </w:rPr>
              <w:t>Освещение хозяйственного блока.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0,83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0,83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0,17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0,33</w:t>
            </w:r>
          </w:p>
        </w:tc>
      </w:tr>
      <w:tr w:rsidR="00835BDF" w:rsidRPr="00835BDF" w:rsidTr="00022414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2.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Приготовление кормов.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-</w:t>
            </w:r>
          </w:p>
        </w:tc>
      </w:tr>
      <w:tr w:rsidR="00835BDF" w:rsidRPr="00835BDF" w:rsidTr="00022414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3.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Подогрев воды.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3,34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-</w:t>
            </w:r>
          </w:p>
        </w:tc>
      </w:tr>
      <w:tr w:rsidR="00835BDF" w:rsidRPr="00835BDF" w:rsidTr="00022414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4.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Обогрев молодняка.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0,33</w:t>
            </w:r>
          </w:p>
        </w:tc>
      </w:tr>
      <w:tr w:rsidR="00835BDF" w:rsidRPr="00835BDF" w:rsidTr="00022414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5.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Доение коров, сепарирование, стрижка овец.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0,17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-</w:t>
            </w:r>
          </w:p>
        </w:tc>
      </w:tr>
      <w:tr w:rsidR="00835BDF" w:rsidRPr="00835BDF" w:rsidTr="00022414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6.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Инкубация.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0,83</w:t>
            </w:r>
          </w:p>
        </w:tc>
      </w:tr>
      <w:tr w:rsidR="00835BDF" w:rsidRPr="00835BDF" w:rsidTr="00022414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7.</w:t>
            </w:r>
          </w:p>
        </w:tc>
        <w:tc>
          <w:tcPr>
            <w:tcW w:w="3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rPr>
                <w:color w:val="auto"/>
              </w:rPr>
            </w:pPr>
            <w:r w:rsidRPr="00835BDF">
              <w:rPr>
                <w:color w:val="auto"/>
              </w:rPr>
              <w:t>Водоснабжение.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0,42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414" w:rsidRPr="00835BDF" w:rsidRDefault="00022414">
            <w:pPr>
              <w:jc w:val="center"/>
              <w:rPr>
                <w:color w:val="auto"/>
              </w:rPr>
            </w:pPr>
            <w:r w:rsidRPr="00835BDF">
              <w:rPr>
                <w:color w:val="auto"/>
              </w:rPr>
              <w:t>0,17</w:t>
            </w:r>
          </w:p>
        </w:tc>
      </w:tr>
    </w:tbl>
    <w:p w:rsidR="00022414" w:rsidRDefault="00022414" w:rsidP="00022414">
      <w:pPr>
        <w:pStyle w:val="1"/>
        <w:ind w:firstLine="426"/>
        <w:rPr>
          <w:sz w:val="24"/>
          <w:szCs w:val="24"/>
        </w:rPr>
      </w:pPr>
    </w:p>
    <w:p w:rsidR="003329C9" w:rsidRPr="003329C9" w:rsidRDefault="003329C9" w:rsidP="003329C9"/>
    <w:p w:rsidR="00022414" w:rsidRDefault="0049466E" w:rsidP="0049466E">
      <w:pPr>
        <w:pStyle w:val="1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022414" w:rsidRDefault="00022414" w:rsidP="00022414">
      <w:pPr>
        <w:pStyle w:val="1"/>
        <w:ind w:firstLine="426"/>
        <w:rPr>
          <w:sz w:val="24"/>
          <w:szCs w:val="24"/>
        </w:rPr>
      </w:pPr>
    </w:p>
    <w:p w:rsidR="00022414" w:rsidRDefault="00022414" w:rsidP="00022414">
      <w:pPr>
        <w:pStyle w:val="1"/>
        <w:ind w:firstLine="426"/>
        <w:rPr>
          <w:sz w:val="24"/>
          <w:szCs w:val="24"/>
        </w:rPr>
      </w:pPr>
    </w:p>
    <w:p w:rsidR="00A33265" w:rsidRPr="00CE3C8D" w:rsidRDefault="00A33265" w:rsidP="00A33265">
      <w:pPr>
        <w:rPr>
          <w:rFonts w:ascii="Garamond" w:hAnsi="Garamond"/>
          <w:b/>
          <w:color w:val="auto"/>
          <w:sz w:val="32"/>
          <w:szCs w:val="32"/>
          <w:u w:val="single"/>
        </w:rPr>
      </w:pPr>
      <w:r>
        <w:rPr>
          <w:rFonts w:ascii="Garamond" w:hAnsi="Garamond"/>
          <w:b/>
          <w:color w:val="auto"/>
          <w:sz w:val="32"/>
          <w:szCs w:val="32"/>
          <w:u w:val="single"/>
        </w:rPr>
        <w:t>от  06.12</w:t>
      </w:r>
      <w:r w:rsidRPr="00CE3C8D">
        <w:rPr>
          <w:rFonts w:ascii="Garamond" w:hAnsi="Garamond"/>
          <w:b/>
          <w:color w:val="auto"/>
          <w:sz w:val="32"/>
          <w:szCs w:val="32"/>
          <w:u w:val="single"/>
        </w:rPr>
        <w:t>.2012</w:t>
      </w:r>
    </w:p>
    <w:p w:rsidR="00A33265" w:rsidRDefault="00A33265" w:rsidP="00A33265">
      <w:pPr>
        <w:rPr>
          <w:color w:val="000000"/>
          <w:sz w:val="26"/>
          <w:szCs w:val="26"/>
        </w:rPr>
      </w:pPr>
      <w:bookmarkStart w:id="0" w:name="_GoBack"/>
      <w:bookmarkEnd w:id="0"/>
    </w:p>
    <w:p w:rsidR="00A33265" w:rsidRPr="00467753" w:rsidRDefault="00A33265" w:rsidP="00A33265">
      <w:pPr>
        <w:rPr>
          <w:color w:val="000000"/>
          <w:sz w:val="26"/>
          <w:szCs w:val="26"/>
        </w:rPr>
      </w:pPr>
    </w:p>
    <w:p w:rsidR="00A33265" w:rsidRDefault="00A33265" w:rsidP="00A33265">
      <w:pPr>
        <w:pStyle w:val="a5"/>
        <w:shd w:val="clear" w:color="auto" w:fill="FFFFFF"/>
        <w:spacing w:line="210" w:lineRule="atLeast"/>
        <w:jc w:val="center"/>
        <w:rPr>
          <w:rFonts w:ascii="Garamond" w:hAnsi="Garamond"/>
          <w:b/>
          <w:color w:val="auto"/>
          <w:sz w:val="32"/>
          <w:szCs w:val="32"/>
        </w:rPr>
      </w:pPr>
      <w:r w:rsidRPr="00A33265">
        <w:rPr>
          <w:rFonts w:ascii="Garamond" w:hAnsi="Garamond"/>
          <w:b/>
          <w:color w:val="auto"/>
          <w:sz w:val="32"/>
          <w:szCs w:val="32"/>
        </w:rPr>
        <w:t>Уважаемые потребители!</w:t>
      </w:r>
    </w:p>
    <w:p w:rsidR="00A33265" w:rsidRPr="00A33265" w:rsidRDefault="00A33265" w:rsidP="00A33265">
      <w:pPr>
        <w:pStyle w:val="a5"/>
        <w:shd w:val="clear" w:color="auto" w:fill="FFFFFF"/>
        <w:spacing w:line="210" w:lineRule="atLeast"/>
        <w:jc w:val="center"/>
        <w:rPr>
          <w:rFonts w:ascii="Garamond" w:hAnsi="Garamond"/>
          <w:b/>
          <w:color w:val="auto"/>
          <w:sz w:val="24"/>
          <w:szCs w:val="24"/>
        </w:rPr>
      </w:pPr>
    </w:p>
    <w:p w:rsidR="00AA3E8D" w:rsidRPr="00AA3E8D" w:rsidRDefault="00A33265" w:rsidP="00A33265">
      <w:pPr>
        <w:pStyle w:val="1"/>
        <w:ind w:firstLine="1134"/>
        <w:jc w:val="both"/>
        <w:rPr>
          <w:szCs w:val="28"/>
        </w:rPr>
      </w:pPr>
      <w:r w:rsidRPr="00A33265">
        <w:rPr>
          <w:szCs w:val="28"/>
        </w:rPr>
        <w:t xml:space="preserve">Приказом Министерства энергетики и тарифной политики Республики Мордовия </w:t>
      </w:r>
      <w:r>
        <w:rPr>
          <w:szCs w:val="28"/>
        </w:rPr>
        <w:t xml:space="preserve"> </w:t>
      </w:r>
      <w:r w:rsidRPr="00A33265">
        <w:rPr>
          <w:szCs w:val="28"/>
        </w:rPr>
        <w:t xml:space="preserve">от </w:t>
      </w:r>
      <w:r>
        <w:rPr>
          <w:szCs w:val="28"/>
        </w:rPr>
        <w:t xml:space="preserve"> </w:t>
      </w:r>
      <w:r w:rsidRPr="00A33265">
        <w:rPr>
          <w:szCs w:val="28"/>
        </w:rPr>
        <w:t>29 ноября 2012 г. № 107 «</w:t>
      </w:r>
      <w:r w:rsidR="00AA3E8D" w:rsidRPr="00AA3E8D">
        <w:rPr>
          <w:szCs w:val="28"/>
        </w:rPr>
        <w:t>Об установлении тарифов на электрическую энергию для населения и приравненных к нему категорий потребителей по РМ на 2013 год»</w:t>
      </w:r>
      <w:r>
        <w:rPr>
          <w:szCs w:val="28"/>
        </w:rPr>
        <w:t>,</w:t>
      </w:r>
      <w:r w:rsidR="00AA3E8D" w:rsidRPr="00AA3E8D">
        <w:rPr>
          <w:szCs w:val="28"/>
        </w:rPr>
        <w:t xml:space="preserve"> </w:t>
      </w:r>
      <w:r w:rsidR="00AA3E8D" w:rsidRPr="00D73AD6">
        <w:rPr>
          <w:color w:val="FF0000"/>
          <w:szCs w:val="28"/>
        </w:rPr>
        <w:t>установлены тарифы на электрическую энергию для населения и приравненных к нему категорий потребителей на 2013 год</w:t>
      </w:r>
      <w:r w:rsidR="00AA3E8D" w:rsidRPr="00AA3E8D">
        <w:rPr>
          <w:szCs w:val="28"/>
        </w:rPr>
        <w:t>.</w:t>
      </w:r>
      <w:r>
        <w:rPr>
          <w:szCs w:val="28"/>
        </w:rPr>
        <w:t xml:space="preserve"> Более подробно с тарифами можно ознакомиться в разделе «цена (тариф) на электрическую энергию, ….». </w:t>
      </w:r>
    </w:p>
    <w:p w:rsidR="00022414" w:rsidRPr="00A33265" w:rsidRDefault="00022414" w:rsidP="00B015EF">
      <w:pPr>
        <w:rPr>
          <w:color w:val="auto"/>
        </w:rPr>
      </w:pPr>
    </w:p>
    <w:p w:rsidR="00022414" w:rsidRDefault="00022414" w:rsidP="00B015EF">
      <w:pPr>
        <w:rPr>
          <w:color w:val="auto"/>
        </w:rPr>
      </w:pPr>
    </w:p>
    <w:p w:rsidR="00F250D6" w:rsidRPr="00B015EF" w:rsidRDefault="00F250D6" w:rsidP="00F250D6">
      <w:pPr>
        <w:ind w:firstLine="1080"/>
        <w:jc w:val="right"/>
        <w:rPr>
          <w:rFonts w:ascii="Garamond" w:hAnsi="Garamond"/>
          <w:color w:val="auto"/>
          <w:sz w:val="28"/>
          <w:szCs w:val="28"/>
        </w:rPr>
      </w:pPr>
      <w:r w:rsidRPr="00B015EF">
        <w:rPr>
          <w:rFonts w:ascii="Garamond" w:hAnsi="Garamond"/>
          <w:color w:val="auto"/>
          <w:sz w:val="28"/>
          <w:szCs w:val="28"/>
        </w:rPr>
        <w:t>Администрация  ООО  «Энергосбыт»</w:t>
      </w:r>
    </w:p>
    <w:p w:rsidR="00022414" w:rsidRPr="00467753" w:rsidRDefault="00022414" w:rsidP="00B015EF">
      <w:pPr>
        <w:rPr>
          <w:color w:val="auto"/>
        </w:rPr>
      </w:pPr>
    </w:p>
    <w:sectPr w:rsidR="00022414" w:rsidRPr="00467753" w:rsidSect="00A552A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57D"/>
    <w:rsid w:val="00022414"/>
    <w:rsid w:val="001B14FF"/>
    <w:rsid w:val="001B6287"/>
    <w:rsid w:val="003329C9"/>
    <w:rsid w:val="00467753"/>
    <w:rsid w:val="0049466E"/>
    <w:rsid w:val="007A6F2E"/>
    <w:rsid w:val="00835BDF"/>
    <w:rsid w:val="00982A19"/>
    <w:rsid w:val="00A33265"/>
    <w:rsid w:val="00A552A6"/>
    <w:rsid w:val="00AA3E8D"/>
    <w:rsid w:val="00B015EF"/>
    <w:rsid w:val="00B70D5B"/>
    <w:rsid w:val="00CE3C8D"/>
    <w:rsid w:val="00D2657D"/>
    <w:rsid w:val="00D73AD6"/>
    <w:rsid w:val="00D8117C"/>
    <w:rsid w:val="00D87731"/>
    <w:rsid w:val="00DD170E"/>
    <w:rsid w:val="00EA395C"/>
    <w:rsid w:val="00F2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7"/>
    <w:pPr>
      <w:spacing w:after="0" w:line="240" w:lineRule="auto"/>
    </w:pPr>
    <w:rPr>
      <w:rFonts w:ascii="Times New Roman" w:eastAsia="Times New Roman" w:hAnsi="Times New Roman" w:cs="Times New Roman"/>
      <w:color w:val="6633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2414"/>
    <w:pPr>
      <w:keepNext/>
      <w:jc w:val="center"/>
      <w:outlineLvl w:val="0"/>
    </w:pPr>
    <w:rPr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4FF"/>
    <w:rPr>
      <w:color w:val="71002E"/>
      <w:u w:val="single"/>
    </w:rPr>
  </w:style>
  <w:style w:type="character" w:styleId="a4">
    <w:name w:val="Strong"/>
    <w:basedOn w:val="a0"/>
    <w:qFormat/>
    <w:rsid w:val="001B14FF"/>
    <w:rPr>
      <w:b/>
      <w:bCs/>
    </w:rPr>
  </w:style>
  <w:style w:type="paragraph" w:styleId="a5">
    <w:name w:val="Normal (Web)"/>
    <w:basedOn w:val="a"/>
    <w:uiPriority w:val="99"/>
    <w:rsid w:val="00B015EF"/>
    <w:pPr>
      <w:spacing w:before="105" w:after="105"/>
      <w:jc w:val="both"/>
    </w:pPr>
    <w:rPr>
      <w:rFonts w:ascii="Tahoma" w:hAnsi="Tahoma" w:cs="Tahoma"/>
      <w:color w:val="424243"/>
      <w:sz w:val="17"/>
      <w:szCs w:val="17"/>
    </w:rPr>
  </w:style>
  <w:style w:type="paragraph" w:styleId="2">
    <w:name w:val="Body Text Indent 2"/>
    <w:basedOn w:val="a"/>
    <w:link w:val="20"/>
    <w:semiHidden/>
    <w:unhideWhenUsed/>
    <w:rsid w:val="00467753"/>
    <w:pPr>
      <w:widowControl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77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qFormat/>
    <w:rsid w:val="00467753"/>
    <w:rPr>
      <w:i/>
      <w:iCs/>
    </w:rPr>
  </w:style>
  <w:style w:type="character" w:customStyle="1" w:styleId="10">
    <w:name w:val="Заголовок 1 Знак"/>
    <w:basedOn w:val="a0"/>
    <w:link w:val="1"/>
    <w:rsid w:val="000224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87"/>
    <w:pPr>
      <w:spacing w:after="0" w:line="240" w:lineRule="auto"/>
    </w:pPr>
    <w:rPr>
      <w:rFonts w:ascii="Times New Roman" w:eastAsia="Times New Roman" w:hAnsi="Times New Roman" w:cs="Times New Roman"/>
      <w:color w:val="6633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2414"/>
    <w:pPr>
      <w:keepNext/>
      <w:jc w:val="center"/>
      <w:outlineLvl w:val="0"/>
    </w:pPr>
    <w:rPr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4FF"/>
    <w:rPr>
      <w:color w:val="71002E"/>
      <w:u w:val="single"/>
    </w:rPr>
  </w:style>
  <w:style w:type="character" w:styleId="a4">
    <w:name w:val="Strong"/>
    <w:basedOn w:val="a0"/>
    <w:qFormat/>
    <w:rsid w:val="001B14FF"/>
    <w:rPr>
      <w:b/>
      <w:bCs/>
    </w:rPr>
  </w:style>
  <w:style w:type="paragraph" w:styleId="a5">
    <w:name w:val="Normal (Web)"/>
    <w:basedOn w:val="a"/>
    <w:uiPriority w:val="99"/>
    <w:rsid w:val="00B015EF"/>
    <w:pPr>
      <w:spacing w:before="105" w:after="105"/>
      <w:jc w:val="both"/>
    </w:pPr>
    <w:rPr>
      <w:rFonts w:ascii="Tahoma" w:hAnsi="Tahoma" w:cs="Tahoma"/>
      <w:color w:val="424243"/>
      <w:sz w:val="17"/>
      <w:szCs w:val="17"/>
    </w:rPr>
  </w:style>
  <w:style w:type="paragraph" w:styleId="2">
    <w:name w:val="Body Text Indent 2"/>
    <w:basedOn w:val="a"/>
    <w:link w:val="20"/>
    <w:semiHidden/>
    <w:unhideWhenUsed/>
    <w:rsid w:val="00467753"/>
    <w:pPr>
      <w:widowControl w:val="0"/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677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mphasis"/>
    <w:basedOn w:val="a0"/>
    <w:qFormat/>
    <w:rsid w:val="00467753"/>
    <w:rPr>
      <w:i/>
      <w:iCs/>
    </w:rPr>
  </w:style>
  <w:style w:type="character" w:customStyle="1" w:styleId="10">
    <w:name w:val="Заголовок 1 Знак"/>
    <w:basedOn w:val="a0"/>
    <w:link w:val="1"/>
    <w:rsid w:val="000224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92870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660266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92046">
                      <w:marLeft w:val="0"/>
                      <w:marRight w:val="0"/>
                      <w:marTop w:val="0"/>
                      <w:marBottom w:val="6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13597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8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6969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54692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ystems-rm.ru/" TargetMode="External"/><Relationship Id="rId13" Type="http://schemas.openxmlformats.org/officeDocument/2006/relationships/hyperlink" Target="http://www.mesk.ru/clients/fiz_licam/tarify_dlya_naseleniya/pr-96-2012.rt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kwes.com/" TargetMode="External"/><Relationship Id="rId12" Type="http://schemas.openxmlformats.org/officeDocument/2006/relationships/hyperlink" Target="http://oes.s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esk.ru/" TargetMode="External"/><Relationship Id="rId11" Type="http://schemas.openxmlformats.org/officeDocument/2006/relationships/hyperlink" Target="http://ruse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szho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rsvetes.narod2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0BA22-5EB8-4D43-B503-8831B01FA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2486</Words>
  <Characters>14172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19</cp:revision>
  <cp:lastPrinted>2012-12-11T10:34:00Z</cp:lastPrinted>
  <dcterms:created xsi:type="dcterms:W3CDTF">2012-11-22T10:08:00Z</dcterms:created>
  <dcterms:modified xsi:type="dcterms:W3CDTF">2012-12-11T11:46:00Z</dcterms:modified>
</cp:coreProperties>
</file>